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1220" w:lineRule="exact"/>
        <w:ind w:right="-25" w:rightChars="-12"/>
        <w:jc w:val="center"/>
        <w:rPr>
          <w:rFonts w:ascii="宋体" w:hAnsi="宋体" w:cs="宋体"/>
          <w:b/>
          <w:bCs/>
          <w:color w:val="auto"/>
          <w:spacing w:val="20"/>
          <w:sz w:val="44"/>
          <w:szCs w:val="44"/>
          <w:highlight w:val="none"/>
        </w:rPr>
      </w:pPr>
    </w:p>
    <w:p>
      <w:pPr>
        <w:tabs>
          <w:tab w:val="left" w:pos="315"/>
          <w:tab w:val="left" w:pos="8820"/>
        </w:tabs>
        <w:spacing w:line="1220" w:lineRule="exact"/>
        <w:ind w:right="-25" w:rightChars="-12"/>
        <w:jc w:val="center"/>
        <w:rPr>
          <w:rFonts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深南高铁SNSJ-2标（1标段）二次补充定测</w:t>
      </w:r>
    </w:p>
    <w:p>
      <w:pPr>
        <w:tabs>
          <w:tab w:val="left" w:pos="315"/>
          <w:tab w:val="left" w:pos="8820"/>
        </w:tabs>
        <w:spacing w:line="1220" w:lineRule="exact"/>
        <w:ind w:right="-25" w:rightChars="-12"/>
        <w:jc w:val="center"/>
        <w:rPr>
          <w:rFonts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阶段勘察劳务</w:t>
      </w:r>
    </w:p>
    <w:p>
      <w:pPr>
        <w:tabs>
          <w:tab w:val="left" w:pos="315"/>
          <w:tab w:val="left" w:pos="8820"/>
        </w:tabs>
        <w:spacing w:line="1220" w:lineRule="exact"/>
        <w:ind w:right="-25" w:rightChars="-12"/>
        <w:jc w:val="center"/>
        <w:rPr>
          <w:rFonts w:ascii="宋体" w:cs="Times New Roman"/>
          <w:b/>
          <w:bCs/>
          <w:color w:val="auto"/>
          <w:spacing w:val="20"/>
          <w:sz w:val="30"/>
          <w:szCs w:val="30"/>
          <w:highlight w:val="none"/>
        </w:rPr>
      </w:pPr>
      <w:r>
        <w:rPr>
          <w:rFonts w:hint="eastAsia" w:ascii="宋体" w:hAnsi="宋体" w:cs="宋体"/>
          <w:b/>
          <w:bCs/>
          <w:color w:val="auto"/>
          <w:spacing w:val="20"/>
          <w:sz w:val="30"/>
          <w:szCs w:val="30"/>
          <w:highlight w:val="none"/>
        </w:rPr>
        <w:t>招标文件</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0"/>
          <w:szCs w:val="30"/>
          <w:highlight w:val="none"/>
        </w:rPr>
      </w:pPr>
      <w:r>
        <w:rPr>
          <w:rFonts w:ascii="仿宋_GB2312" w:hAnsi="Times New Roman" w:cs="仿宋_GB2312"/>
          <w:color w:val="auto"/>
          <w:sz w:val="30"/>
          <w:szCs w:val="30"/>
          <w:highlight w:val="none"/>
        </w:rPr>
        <w:t>招标人</w:t>
      </w:r>
      <w:r>
        <w:rPr>
          <w:rFonts w:hint="eastAsia" w:ascii="仿宋_GB2312" w:hAnsi="Times New Roman" w:cs="仿宋_GB2312"/>
          <w:color w:val="auto"/>
          <w:sz w:val="30"/>
          <w:szCs w:val="30"/>
          <w:highlight w:val="none"/>
        </w:rPr>
        <w:t>：</w:t>
      </w:r>
      <w:r>
        <w:rPr>
          <w:rFonts w:ascii="仿宋_GB2312" w:hAnsi="Times New Roman" w:cs="仿宋_GB2312"/>
          <w:color w:val="auto"/>
          <w:sz w:val="30"/>
          <w:szCs w:val="30"/>
          <w:highlight w:val="none"/>
        </w:rPr>
        <w:t>中铁时代建筑</w:t>
      </w:r>
      <w:r>
        <w:rPr>
          <w:rFonts w:hint="eastAsia" w:ascii="仿宋_GB2312" w:hAnsi="Times New Roman" w:cs="仿宋_GB2312"/>
          <w:color w:val="auto"/>
          <w:sz w:val="30"/>
          <w:szCs w:val="30"/>
          <w:highlight w:val="none"/>
        </w:rPr>
        <w:t>设计</w:t>
      </w:r>
      <w:r>
        <w:rPr>
          <w:rFonts w:ascii="仿宋_GB2312" w:hAnsi="Times New Roman" w:cs="仿宋_GB2312"/>
          <w:color w:val="auto"/>
          <w:sz w:val="30"/>
          <w:szCs w:val="30"/>
          <w:highlight w:val="none"/>
        </w:rPr>
        <w:t>院有限公司</w:t>
      </w:r>
    </w:p>
    <w:p>
      <w:pPr>
        <w:spacing w:line="560" w:lineRule="exact"/>
        <w:jc w:val="center"/>
        <w:rPr>
          <w:rFonts w:ascii="宋体" w:hAnsi="宋体" w:cs="宋体"/>
          <w:color w:val="auto"/>
          <w:sz w:val="24"/>
          <w:szCs w:val="24"/>
          <w:highlight w:val="none"/>
        </w:rPr>
      </w:pPr>
      <w:r>
        <w:rPr>
          <w:rFonts w:hint="eastAsia" w:ascii="宋体" w:hAnsi="宋体" w:cs="仿宋_GB2312"/>
          <w:color w:val="auto"/>
          <w:sz w:val="30"/>
          <w:szCs w:val="30"/>
          <w:highlight w:val="none"/>
        </w:rPr>
        <w:t>2025年3月7日</w:t>
      </w:r>
      <w:bookmarkStart w:id="0" w:name="_Toc358215312"/>
      <w:bookmarkStart w:id="1" w:name="OLE_LINK1"/>
      <w:bookmarkStart w:id="2" w:name="OLE_LINK3"/>
      <w:bookmarkStart w:id="3" w:name="OLE_LINK4"/>
      <w:bookmarkStart w:id="4" w:name="OLE_LINK2"/>
    </w:p>
    <w:p>
      <w:pPr>
        <w:widowControl/>
        <w:jc w:val="left"/>
        <w:rPr>
          <w:rFonts w:ascii="宋体" w:hAnsi="宋体" w:cs="宋体"/>
          <w:b/>
          <w:bCs/>
          <w:color w:val="auto"/>
          <w:spacing w:val="20"/>
          <w:sz w:val="28"/>
          <w:szCs w:val="28"/>
          <w:highlight w:val="none"/>
        </w:rPr>
      </w:pPr>
      <w:r>
        <w:rPr>
          <w:rFonts w:ascii="宋体" w:hAnsi="宋体" w:cs="宋体"/>
          <w:b/>
          <w:bCs/>
          <w:color w:val="auto"/>
          <w:spacing w:val="20"/>
          <w:sz w:val="28"/>
          <w:szCs w:val="28"/>
          <w:highlight w:val="none"/>
        </w:rPr>
        <w:br w:type="page"/>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p>
    <w:p>
      <w:pPr>
        <w:tabs>
          <w:tab w:val="left" w:pos="315"/>
          <w:tab w:val="left" w:pos="8820"/>
        </w:tabs>
        <w:spacing w:line="360" w:lineRule="auto"/>
        <w:ind w:right="-25" w:rightChars="-12"/>
        <w:jc w:val="center"/>
        <w:rPr>
          <w:rFonts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深南高铁SNSJ-2标（1标段）二次补充定测</w:t>
      </w:r>
    </w:p>
    <w:p>
      <w:pPr>
        <w:tabs>
          <w:tab w:val="left" w:pos="315"/>
          <w:tab w:val="left" w:pos="8820"/>
        </w:tabs>
        <w:spacing w:line="360" w:lineRule="auto"/>
        <w:ind w:right="-25" w:rightChars="-12"/>
        <w:jc w:val="center"/>
        <w:rPr>
          <w:rFonts w:ascii="宋体" w:hAnsi="宋体" w:cs="宋体"/>
          <w:b/>
          <w:bCs/>
          <w:color w:val="auto"/>
          <w:spacing w:val="20"/>
          <w:sz w:val="30"/>
          <w:szCs w:val="30"/>
          <w:highlight w:val="none"/>
        </w:rPr>
      </w:pPr>
      <w:r>
        <w:rPr>
          <w:rFonts w:hint="eastAsia" w:ascii="宋体" w:hAnsi="宋体" w:cs="宋体"/>
          <w:b/>
          <w:bCs/>
          <w:color w:val="auto"/>
          <w:spacing w:val="20"/>
          <w:sz w:val="30"/>
          <w:szCs w:val="30"/>
          <w:highlight w:val="none"/>
        </w:rPr>
        <w:t>阶段勘察劳务</w:t>
      </w:r>
    </w:p>
    <w:p>
      <w:pPr>
        <w:autoSpaceDE w:val="0"/>
        <w:autoSpaceDN w:val="0"/>
        <w:adjustRightInd w:val="0"/>
        <w:spacing w:line="360" w:lineRule="auto"/>
        <w:ind w:firstLine="200"/>
        <w:jc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招标公告</w:t>
      </w:r>
      <w:bookmarkEnd w:id="0"/>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现通过招标方式采购</w:t>
      </w:r>
      <w:r>
        <w:rPr>
          <w:rFonts w:hint="eastAsia" w:ascii="宋体" w:hAnsi="宋体" w:cs="宋体"/>
          <w:color w:val="auto"/>
          <w:spacing w:val="20"/>
          <w:sz w:val="24"/>
          <w:szCs w:val="24"/>
          <w:highlight w:val="none"/>
        </w:rPr>
        <w:t>《</w:t>
      </w:r>
      <w:r>
        <w:rPr>
          <w:rFonts w:hint="eastAsia" w:asciiTheme="minorEastAsia" w:hAnsiTheme="minorEastAsia" w:eastAsiaTheme="minorEastAsia"/>
          <w:color w:val="auto"/>
          <w:sz w:val="24"/>
          <w:szCs w:val="24"/>
          <w:highlight w:val="none"/>
        </w:rPr>
        <w:t>深南高铁SNSJ-</w:t>
      </w:r>
      <w:r>
        <w:rPr>
          <w:rFonts w:hint="eastAsia" w:asciiTheme="minorEastAsia" w:hAnsiTheme="minorEastAsia"/>
          <w:color w:val="auto"/>
          <w:sz w:val="24"/>
          <w:szCs w:val="24"/>
          <w:highlight w:val="none"/>
        </w:rPr>
        <w:t>2</w:t>
      </w:r>
      <w:r>
        <w:rPr>
          <w:rFonts w:hint="eastAsia" w:asciiTheme="minorEastAsia" w:hAnsiTheme="minorEastAsia" w:eastAsiaTheme="minorEastAsia"/>
          <w:color w:val="auto"/>
          <w:sz w:val="24"/>
          <w:szCs w:val="24"/>
          <w:highlight w:val="none"/>
        </w:rPr>
        <w:t>标（1标段）二次补充定测阶段勘察</w:t>
      </w:r>
      <w:r>
        <w:rPr>
          <w:rFonts w:hint="eastAsia" w:ascii="宋体" w:hAnsi="宋体" w:cs="宋体"/>
          <w:color w:val="auto"/>
          <w:spacing w:val="20"/>
          <w:sz w:val="24"/>
          <w:szCs w:val="24"/>
          <w:highlight w:val="none"/>
        </w:rPr>
        <w:t>》</w:t>
      </w:r>
      <w:r>
        <w:rPr>
          <w:rFonts w:hint="eastAsia" w:asciiTheme="minorEastAsia" w:hAnsiTheme="minorEastAsia" w:eastAsiaTheme="minorEastAsia"/>
          <w:color w:val="auto"/>
          <w:sz w:val="24"/>
          <w:szCs w:val="24"/>
          <w:highlight w:val="none"/>
        </w:rPr>
        <w:t>劳务</w:t>
      </w:r>
      <w:r>
        <w:rPr>
          <w:rFonts w:hint="eastAsia" w:ascii="宋体" w:hAnsi="宋体" w:cs="宋体"/>
          <w:color w:val="auto"/>
          <w:sz w:val="24"/>
          <w:szCs w:val="24"/>
          <w:highlight w:val="none"/>
        </w:rPr>
        <w:t>服务，劳务单位工作内容包括但不限于钻探取芯、原位测试、测绘、取样、送样、封孔及配合甲方的放线、物探、测井、抽水试验等工作；班报表的及时填写、岩芯照片拍摄等工作，并且满足建设单位各项功能性要求。</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以上工作阶段所产生的各项成本费用均由中标单位承担。</w:t>
      </w:r>
    </w:p>
    <w:p>
      <w:pPr>
        <w:autoSpaceDE w:val="0"/>
        <w:autoSpaceDN w:val="0"/>
        <w:adjustRightInd w:val="0"/>
        <w:spacing w:line="360" w:lineRule="auto"/>
        <w:ind w:firstLine="468" w:firstLineChars="195"/>
        <w:jc w:val="left"/>
        <w:rPr>
          <w:rFonts w:ascii="宋体" w:cs="Times New Roman"/>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一、采购项目名称及内容</w:t>
      </w:r>
    </w:p>
    <w:p>
      <w:pPr>
        <w:autoSpaceDE w:val="0"/>
        <w:autoSpaceDN w:val="0"/>
        <w:adjustRightInd w:val="0"/>
        <w:spacing w:line="360" w:lineRule="auto"/>
        <w:ind w:firstLine="480" w:firstLineChars="200"/>
        <w:jc w:val="left"/>
        <w:rPr>
          <w:rFonts w:ascii="宋体" w:hAnsi="宋体" w:cs="宋体"/>
          <w:color w:val="auto"/>
          <w:spacing w:val="20"/>
          <w:sz w:val="24"/>
          <w:szCs w:val="24"/>
          <w:highlight w:val="none"/>
        </w:rPr>
      </w:pPr>
      <w:r>
        <w:rPr>
          <w:rFonts w:hint="eastAsia" w:ascii="宋体" w:hAnsi="宋体" w:cs="宋体"/>
          <w:color w:val="auto"/>
          <w:sz w:val="24"/>
          <w:szCs w:val="24"/>
          <w:highlight w:val="none"/>
        </w:rPr>
        <w:t>1.项目名称：</w:t>
      </w:r>
      <w:r>
        <w:rPr>
          <w:rFonts w:hint="eastAsia" w:asciiTheme="minorEastAsia" w:hAnsiTheme="minorEastAsia" w:eastAsiaTheme="minorEastAsia"/>
          <w:color w:val="auto"/>
          <w:sz w:val="24"/>
          <w:szCs w:val="24"/>
          <w:highlight w:val="none"/>
        </w:rPr>
        <w:t>深南高铁SNSJ-</w:t>
      </w:r>
      <w:r>
        <w:rPr>
          <w:rFonts w:hint="eastAsia" w:asciiTheme="minorEastAsia" w:hAnsiTheme="minorEastAsia"/>
          <w:color w:val="auto"/>
          <w:sz w:val="24"/>
          <w:szCs w:val="24"/>
          <w:highlight w:val="none"/>
        </w:rPr>
        <w:t>2</w:t>
      </w:r>
      <w:r>
        <w:rPr>
          <w:rFonts w:hint="eastAsia" w:asciiTheme="minorEastAsia" w:hAnsiTheme="minorEastAsia" w:eastAsiaTheme="minorEastAsia"/>
          <w:color w:val="auto"/>
          <w:sz w:val="24"/>
          <w:szCs w:val="24"/>
          <w:highlight w:val="none"/>
        </w:rPr>
        <w:t>标（1标段）二次补充定测阶段勘察</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2.项目地点：</w:t>
      </w:r>
      <w:r>
        <w:rPr>
          <w:rFonts w:hint="eastAsia" w:ascii="宋体" w:hAnsi="宋体" w:cs="宋体"/>
          <w:color w:val="auto"/>
          <w:sz w:val="24"/>
          <w:szCs w:val="24"/>
          <w:highlight w:val="none"/>
          <w:lang w:val="en-US" w:eastAsia="zh-CN"/>
        </w:rPr>
        <w:t>项目位于</w:t>
      </w:r>
      <w:r>
        <w:rPr>
          <w:rFonts w:hint="eastAsia" w:ascii="宋体" w:hAnsi="宋体" w:cs="宋体"/>
          <w:color w:val="auto"/>
          <w:sz w:val="24"/>
          <w:szCs w:val="24"/>
          <w:highlight w:val="none"/>
        </w:rPr>
        <w:t>广东省云浮市</w:t>
      </w:r>
    </w:p>
    <w:p>
      <w:pPr>
        <w:autoSpaceDE w:val="0"/>
        <w:autoSpaceDN w:val="0"/>
        <w:adjustRightInd w:val="0"/>
        <w:spacing w:line="360" w:lineRule="auto"/>
        <w:ind w:firstLine="480" w:firstLineChars="200"/>
        <w:jc w:val="left"/>
        <w:rPr>
          <w:rFonts w:hint="eastAsia" w:ascii="宋体" w:hAnsi="宋体" w:cs="宋体"/>
          <w:b w:val="0"/>
          <w:bCs w:val="0"/>
          <w:color w:val="auto"/>
          <w:sz w:val="24"/>
          <w:szCs w:val="24"/>
          <w:highlight w:val="none"/>
        </w:rPr>
      </w:pPr>
      <w:r>
        <w:rPr>
          <w:rFonts w:hint="eastAsia" w:ascii="宋体" w:hAnsi="宋体" w:cs="宋体"/>
          <w:color w:val="auto"/>
          <w:sz w:val="24"/>
          <w:szCs w:val="24"/>
          <w:highlight w:val="none"/>
        </w:rPr>
        <w:t>3.</w:t>
      </w:r>
      <w:r>
        <w:rPr>
          <w:rFonts w:hint="eastAsia" w:ascii="宋体" w:hAnsi="宋体" w:cs="宋体"/>
          <w:b w:val="0"/>
          <w:bCs w:val="0"/>
          <w:color w:val="auto"/>
          <w:sz w:val="24"/>
          <w:szCs w:val="24"/>
          <w:highlight w:val="none"/>
        </w:rPr>
        <w:t>项目规模：全长约15km，里程范围为：DK408+500~DK423+400。</w:t>
      </w:r>
      <w:r>
        <w:rPr>
          <w:rFonts w:hint="eastAsia" w:ascii="宋体" w:hAnsi="宋体" w:cs="宋体"/>
          <w:b w:val="0"/>
          <w:bCs w:val="0"/>
          <w:color w:val="auto"/>
          <w:sz w:val="24"/>
          <w:szCs w:val="24"/>
          <w:highlight w:val="none"/>
          <w:lang w:val="en-US" w:eastAsia="zh-CN"/>
        </w:rPr>
        <w:t>预估工作量：遗留机钻孔约110个，钻孔深度约45m-50m，总进尺约5500m。</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4.招标范围：</w:t>
      </w:r>
      <w:r>
        <w:rPr>
          <w:rFonts w:hint="eastAsia" w:ascii="宋体" w:hAnsi="宋体" w:cs="宋体"/>
          <w:color w:val="auto"/>
          <w:sz w:val="24"/>
          <w:szCs w:val="24"/>
          <w:highlight w:val="none"/>
        </w:rPr>
        <w:t xml:space="preserve"> 用地红线范围内拟建铁路。</w:t>
      </w:r>
    </w:p>
    <w:p>
      <w:pPr>
        <w:widowControl/>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kern w:val="0"/>
          <w:sz w:val="24"/>
          <w:szCs w:val="24"/>
          <w:highlight w:val="none"/>
        </w:rPr>
        <w:t>5.服务期限：90</w:t>
      </w:r>
      <w:r>
        <w:rPr>
          <w:rFonts w:hint="eastAsia" w:ascii="宋体" w:hAnsi="宋体" w:cs="宋体"/>
          <w:color w:val="auto"/>
          <w:sz w:val="24"/>
          <w:szCs w:val="24"/>
          <w:highlight w:val="none"/>
        </w:rPr>
        <w:t>天，进场时间以甲方通知为准。</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6.质量标准：孔深以满足规范和相关技术要求的勘探深度为准（具体见本项目的“钻探施工技术要求”）。</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7.报价方式：投标报价必须以单价形式报价，报价格式为：*.**元/米。</w:t>
      </w:r>
    </w:p>
    <w:p>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8.招标控制价：陆域机钻孔130元/米、静力触探孔15元/米，运输费5000元/台，中转费1000元/台。</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cs="Times New Roman"/>
          <w:b/>
          <w:bCs/>
          <w:color w:val="auto"/>
          <w:sz w:val="24"/>
          <w:szCs w:val="24"/>
          <w:highlight w:val="none"/>
        </w:rPr>
      </w:pPr>
      <w:r>
        <w:rPr>
          <w:rFonts w:hint="eastAsia" w:ascii="宋体" w:hAnsi="宋体" w:cs="宋体"/>
          <w:b/>
          <w:bCs/>
          <w:color w:val="auto"/>
          <w:sz w:val="24"/>
          <w:szCs w:val="24"/>
          <w:highlight w:val="none"/>
        </w:rPr>
        <w:t>二、投标人资格</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olor w:val="auto"/>
          <w:kern w:val="0"/>
          <w:sz w:val="24"/>
          <w:szCs w:val="24"/>
          <w:highlight w:val="none"/>
        </w:rPr>
        <w:t>1.投标人资质要求：具备钻探、物探等劳务服务资格的独立法人</w:t>
      </w:r>
      <w:r>
        <w:rPr>
          <w:rFonts w:hint="eastAsia" w:ascii="宋体" w:hAnsi="宋体" w:cs="宋体"/>
          <w:color w:val="auto"/>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2.投标人类似业绩要求：</w:t>
      </w:r>
      <w:r>
        <w:rPr>
          <w:rFonts w:hint="eastAsia" w:ascii="宋体" w:hAnsi="宋体"/>
          <w:color w:val="auto"/>
          <w:kern w:val="0"/>
          <w:sz w:val="24"/>
          <w:szCs w:val="24"/>
          <w:highlight w:val="none"/>
          <w:lang w:val="en-US" w:eastAsia="zh-CN"/>
        </w:rPr>
        <w:t>无</w:t>
      </w:r>
      <w:r>
        <w:rPr>
          <w:rFonts w:hint="eastAsia" w:ascii="宋体" w:hAnsi="宋体"/>
          <w:color w:val="auto"/>
          <w:kern w:val="0"/>
          <w:sz w:val="24"/>
          <w:szCs w:val="24"/>
          <w:highlight w:val="none"/>
        </w:rPr>
        <w:t>。</w:t>
      </w:r>
    </w:p>
    <w:p>
      <w:pPr>
        <w:autoSpaceDE w:val="0"/>
        <w:autoSpaceDN w:val="0"/>
        <w:adjustRightInd w:val="0"/>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3.项目负责人资质要求：无。</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4.项目负责人类似业绩要求：</w:t>
      </w:r>
      <w:r>
        <w:rPr>
          <w:rFonts w:hint="eastAsia" w:ascii="宋体" w:hAnsi="宋体" w:cs="宋体"/>
          <w:color w:val="auto"/>
          <w:kern w:val="0"/>
          <w:sz w:val="24"/>
          <w:szCs w:val="24"/>
          <w:highlight w:val="none"/>
          <w:lang w:val="en-US" w:eastAsia="zh-CN"/>
        </w:rPr>
        <w:t>无</w:t>
      </w:r>
      <w:r>
        <w:rPr>
          <w:rFonts w:hint="eastAsia" w:ascii="宋体" w:hAnsi="宋体" w:cs="宋体"/>
          <w:color w:val="auto"/>
          <w:kern w:val="0"/>
          <w:sz w:val="24"/>
          <w:szCs w:val="24"/>
          <w:highlight w:val="none"/>
        </w:rPr>
        <w:t>。</w:t>
      </w:r>
    </w:p>
    <w:p>
      <w:pPr>
        <w:adjustRightInd w:val="0"/>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5.本项目不接受联合体投标。</w:t>
      </w:r>
    </w:p>
    <w:bookmarkEnd w:id="1"/>
    <w:bookmarkEnd w:id="2"/>
    <w:bookmarkEnd w:id="3"/>
    <w:bookmarkEnd w:id="4"/>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三、报名方式</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1.本项目通过中铁时代建筑</w:t>
      </w:r>
      <w:r>
        <w:rPr>
          <w:rFonts w:hint="eastAsia" w:ascii="宋体" w:hAnsi="宋体" w:cs="宋体"/>
          <w:color w:val="auto"/>
          <w:sz w:val="24"/>
          <w:szCs w:val="24"/>
          <w:highlight w:val="none"/>
          <w:lang w:val="en-US" w:eastAsia="zh-CN"/>
        </w:rPr>
        <w:t>设计</w:t>
      </w:r>
      <w:r>
        <w:rPr>
          <w:rFonts w:hint="eastAsia" w:ascii="宋体" w:hAnsi="宋体" w:cs="宋体"/>
          <w:color w:val="auto"/>
          <w:sz w:val="24"/>
          <w:szCs w:val="24"/>
          <w:highlight w:val="none"/>
        </w:rPr>
        <w:t>院有限公司官网（网址：</w:t>
      </w:r>
      <w:r>
        <w:rPr>
          <w:rFonts w:ascii="宋体" w:hAnsi="宋体" w:cs="宋体"/>
          <w:color w:val="auto"/>
          <w:sz w:val="24"/>
          <w:szCs w:val="24"/>
          <w:highlight w:val="none"/>
        </w:rPr>
        <w:t>www.ztsdjzsjy.com</w:t>
      </w:r>
      <w:r>
        <w:rPr>
          <w:rFonts w:hint="eastAsia" w:ascii="宋体" w:hAnsi="宋体" w:cs="宋体"/>
          <w:color w:val="auto"/>
          <w:sz w:val="24"/>
          <w:szCs w:val="24"/>
          <w:highlight w:val="none"/>
        </w:rPr>
        <w:t>）信息公开栏进行招标。投标人可自行登录网站查询招标公告并下载相关文件。</w:t>
      </w:r>
    </w:p>
    <w:p>
      <w:pPr>
        <w:pStyle w:val="2"/>
        <w:spacing w:line="360" w:lineRule="auto"/>
        <w:ind w:firstLine="480"/>
        <w:rPr>
          <w:rFonts w:ascii="宋体" w:hAnsi="宋体" w:eastAsia="宋体"/>
          <w:color w:val="auto"/>
          <w:highlight w:val="none"/>
        </w:rPr>
      </w:pPr>
      <w:r>
        <w:rPr>
          <w:rFonts w:hint="eastAsia" w:ascii="宋体" w:hAnsi="宋体" w:eastAsia="宋体"/>
          <w:color w:val="auto"/>
          <w:highlight w:val="none"/>
        </w:rPr>
        <w:t>2.投标人须提供：（1）纸质版：一式</w:t>
      </w:r>
      <w:r>
        <w:rPr>
          <w:rFonts w:hint="eastAsia" w:ascii="宋体" w:hAnsi="宋体" w:eastAsia="宋体"/>
          <w:color w:val="auto"/>
          <w:highlight w:val="none"/>
          <w:lang w:val="en-US" w:eastAsia="zh-CN"/>
        </w:rPr>
        <w:t>叁</w:t>
      </w:r>
      <w:r>
        <w:rPr>
          <w:rFonts w:hint="eastAsia" w:ascii="宋体" w:hAnsi="宋体" w:eastAsia="宋体"/>
          <w:color w:val="auto"/>
          <w:highlight w:val="none"/>
        </w:rPr>
        <w:t>份投标文件，其中正本壹份，副本</w:t>
      </w:r>
      <w:r>
        <w:rPr>
          <w:rFonts w:hint="eastAsia" w:ascii="宋体" w:hAnsi="宋体" w:eastAsia="宋体"/>
          <w:color w:val="auto"/>
          <w:highlight w:val="none"/>
          <w:lang w:val="en-US" w:eastAsia="zh-CN"/>
        </w:rPr>
        <w:t>贰</w:t>
      </w:r>
      <w:r>
        <w:rPr>
          <w:rFonts w:hint="eastAsia" w:ascii="宋体" w:hAnsi="宋体" w:eastAsia="宋体"/>
          <w:color w:val="auto"/>
          <w:highlight w:val="none"/>
        </w:rPr>
        <w:t>份。每份响应文件均需在封面上清楚标明“正本”或“副本”字样。投标人应将文件的正本和副本分开胶装封装到同一密封袋，封套应保证其密封性并应加盖投标人单位公章或密封章，并在封皮上注明“*****项目投标文件”（2）电子版：可编辑版投标文件（word）及签字盖章扫描版（PDF，需与纸质投标文件正本保持一致）发至联系人指定邮箱。</w:t>
      </w:r>
    </w:p>
    <w:p>
      <w:pPr>
        <w:widowControl/>
        <w:snapToGrid w:val="0"/>
        <w:spacing w:before="100" w:after="100" w:line="360" w:lineRule="auto"/>
        <w:ind w:firstLine="480" w:firstLineChars="200"/>
        <w:jc w:val="left"/>
        <w:rPr>
          <w:rFonts w:ascii="宋体" w:hAnsi="宋体" w:cs="宋体"/>
          <w:b w:val="0"/>
          <w:bCs w:val="0"/>
          <w:color w:val="auto"/>
          <w:kern w:val="0"/>
          <w:sz w:val="24"/>
          <w:szCs w:val="24"/>
          <w:highlight w:val="none"/>
        </w:rPr>
      </w:pPr>
      <w:r>
        <w:rPr>
          <w:rFonts w:hint="eastAsia" w:ascii="宋体" w:hAnsi="宋体" w:cs="宋体"/>
          <w:color w:val="auto"/>
          <w:kern w:val="0"/>
          <w:sz w:val="24"/>
          <w:szCs w:val="24"/>
          <w:highlight w:val="none"/>
        </w:rPr>
        <w:t>3.投标截止时间：</w:t>
      </w:r>
      <w:r>
        <w:rPr>
          <w:rFonts w:hint="eastAsia" w:ascii="宋体" w:hAnsi="宋体" w:cs="宋体"/>
          <w:b w:val="0"/>
          <w:bCs w:val="0"/>
          <w:color w:val="auto"/>
          <w:kern w:val="0"/>
          <w:sz w:val="24"/>
          <w:szCs w:val="24"/>
          <w:highlight w:val="none"/>
        </w:rPr>
        <w:t>2025年3月</w:t>
      </w:r>
      <w:r>
        <w:rPr>
          <w:rFonts w:hint="eastAsia" w:ascii="宋体" w:hAnsi="宋体" w:cs="宋体"/>
          <w:b w:val="0"/>
          <w:bCs w:val="0"/>
          <w:color w:val="auto"/>
          <w:kern w:val="0"/>
          <w:sz w:val="24"/>
          <w:szCs w:val="24"/>
          <w:highlight w:val="none"/>
          <w:lang w:val="en-US" w:eastAsia="zh-CN"/>
        </w:rPr>
        <w:t>31</w:t>
      </w:r>
      <w:r>
        <w:rPr>
          <w:rFonts w:hint="eastAsia" w:ascii="宋体" w:hAnsi="宋体" w:cs="宋体"/>
          <w:b w:val="0"/>
          <w:bCs w:val="0"/>
          <w:color w:val="auto"/>
          <w:kern w:val="0"/>
          <w:sz w:val="24"/>
          <w:szCs w:val="24"/>
          <w:highlight w:val="none"/>
        </w:rPr>
        <w:t>日上午9时。</w:t>
      </w:r>
    </w:p>
    <w:p>
      <w:pPr>
        <w:autoSpaceDE w:val="0"/>
        <w:autoSpaceDN w:val="0"/>
        <w:adjustRightInd w:val="0"/>
        <w:spacing w:line="360" w:lineRule="auto"/>
        <w:jc w:val="left"/>
        <w:rPr>
          <w:rFonts w:ascii="宋体" w:hAnsi="宋体" w:cs="宋体"/>
          <w:b w:val="0"/>
          <w:bCs w:val="0"/>
          <w:color w:val="auto"/>
          <w:sz w:val="24"/>
          <w:szCs w:val="24"/>
          <w:highlight w:val="none"/>
        </w:rPr>
      </w:pPr>
    </w:p>
    <w:p>
      <w:pPr>
        <w:autoSpaceDE w:val="0"/>
        <w:autoSpaceDN w:val="0"/>
        <w:adjustRightInd w:val="0"/>
        <w:spacing w:line="360" w:lineRule="auto"/>
        <w:jc w:val="left"/>
        <w:rPr>
          <w:rFonts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rPr>
        <w:t>四、评标方法</w:t>
      </w:r>
    </w:p>
    <w:p>
      <w:pPr>
        <w:autoSpaceDE w:val="0"/>
        <w:autoSpaceDN w:val="0"/>
        <w:adjustRightInd w:val="0"/>
        <w:spacing w:line="360" w:lineRule="auto"/>
        <w:ind w:firstLine="480" w:firstLineChars="200"/>
        <w:jc w:val="left"/>
        <w:rPr>
          <w:rFonts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rPr>
        <w:t>本项目采用综合评分法，总分100分，其中技术部分50分，报价部分50分：</w:t>
      </w:r>
    </w:p>
    <w:p>
      <w:pPr>
        <w:pStyle w:val="2"/>
        <w:ind w:firstLine="482"/>
        <w:rPr>
          <w:rFonts w:ascii="宋体" w:hAnsi="宋体" w:eastAsia="宋体"/>
          <w:b w:val="0"/>
          <w:bCs w:val="0"/>
          <w:color w:val="auto"/>
          <w:highlight w:val="none"/>
        </w:rPr>
      </w:pPr>
      <w:r>
        <w:rPr>
          <w:rFonts w:hint="eastAsia" w:ascii="宋体" w:hAnsi="宋体" w:eastAsia="宋体"/>
          <w:b w:val="0"/>
          <w:bCs w:val="0"/>
          <w:color w:val="auto"/>
          <w:highlight w:val="none"/>
        </w:rPr>
        <w:t>1.技术部分（50分）</w:t>
      </w:r>
    </w:p>
    <w:p>
      <w:pPr>
        <w:autoSpaceDE w:val="0"/>
        <w:autoSpaceDN w:val="0"/>
        <w:adjustRightInd w:val="0"/>
        <w:spacing w:line="360" w:lineRule="auto"/>
        <w:ind w:firstLine="480" w:firstLineChars="200"/>
        <w:jc w:val="left"/>
        <w:rPr>
          <w:rFonts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rPr>
        <w:t>投标人针对本项目服务质量、安全、进度、造价投资的控制措施进行表述：控制措施全面且有针对性的得</w:t>
      </w:r>
      <w:r>
        <w:rPr>
          <w:rFonts w:hint="eastAsia" w:ascii="宋体" w:hAnsi="宋体" w:cs="仿宋_GB2312"/>
          <w:b w:val="0"/>
          <w:bCs w:val="0"/>
          <w:color w:val="auto"/>
          <w:sz w:val="24"/>
          <w:szCs w:val="24"/>
          <w:highlight w:val="none"/>
          <w:lang w:val="en-US" w:eastAsia="zh-CN"/>
        </w:rPr>
        <w:t xml:space="preserve"> 31-50</w:t>
      </w:r>
      <w:r>
        <w:rPr>
          <w:rFonts w:hint="eastAsia" w:ascii="宋体" w:hAnsi="宋体" w:cs="仿宋_GB2312"/>
          <w:b w:val="0"/>
          <w:bCs w:val="0"/>
          <w:color w:val="auto"/>
          <w:sz w:val="24"/>
          <w:szCs w:val="24"/>
          <w:highlight w:val="none"/>
        </w:rPr>
        <w:t>分；控制措施可行的，得11-</w:t>
      </w:r>
      <w:r>
        <w:rPr>
          <w:rFonts w:hint="eastAsia" w:ascii="宋体" w:hAnsi="宋体" w:cs="仿宋_GB2312"/>
          <w:b w:val="0"/>
          <w:bCs w:val="0"/>
          <w:color w:val="auto"/>
          <w:sz w:val="24"/>
          <w:szCs w:val="24"/>
          <w:highlight w:val="none"/>
          <w:lang w:val="en-US" w:eastAsia="zh-CN"/>
        </w:rPr>
        <w:t>30</w:t>
      </w:r>
      <w:r>
        <w:rPr>
          <w:rFonts w:hint="eastAsia" w:ascii="宋体" w:hAnsi="宋体" w:cs="仿宋_GB2312"/>
          <w:b w:val="0"/>
          <w:bCs w:val="0"/>
          <w:color w:val="auto"/>
          <w:sz w:val="24"/>
          <w:szCs w:val="24"/>
          <w:highlight w:val="none"/>
        </w:rPr>
        <w:t>分；控制措施一般或未提供的得0-10分。</w:t>
      </w:r>
    </w:p>
    <w:p>
      <w:pPr>
        <w:autoSpaceDE w:val="0"/>
        <w:autoSpaceDN w:val="0"/>
        <w:adjustRightInd w:val="0"/>
        <w:spacing w:line="360" w:lineRule="auto"/>
        <w:ind w:firstLine="480" w:firstLineChars="200"/>
        <w:jc w:val="left"/>
        <w:rPr>
          <w:rFonts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rPr>
        <w:t>3.报价部分（50分）</w:t>
      </w:r>
    </w:p>
    <w:p>
      <w:pPr>
        <w:autoSpaceDE w:val="0"/>
        <w:autoSpaceDN w:val="0"/>
        <w:adjustRightInd w:val="0"/>
        <w:spacing w:line="360" w:lineRule="auto"/>
        <w:ind w:firstLine="480" w:firstLineChars="200"/>
        <w:jc w:val="left"/>
        <w:rPr>
          <w:rFonts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rPr>
        <w:t>所有通过资格审查且在招标控制价内的报价为有效报价，投标人最低有效报价得满分，次低有效报价扣5分，以此类推，扣完为止。</w:t>
      </w:r>
    </w:p>
    <w:p>
      <w:pPr>
        <w:autoSpaceDE w:val="0"/>
        <w:autoSpaceDN w:val="0"/>
        <w:adjustRightInd w:val="0"/>
        <w:spacing w:line="360" w:lineRule="auto"/>
        <w:ind w:firstLine="480" w:firstLineChars="200"/>
        <w:jc w:val="left"/>
        <w:rPr>
          <w:rFonts w:ascii="宋体" w:hAnsi="宋体" w:cs="仿宋_GB2312"/>
          <w:b w:val="0"/>
          <w:bCs w:val="0"/>
          <w:color w:val="auto"/>
          <w:sz w:val="24"/>
          <w:szCs w:val="24"/>
          <w:highlight w:val="none"/>
        </w:rPr>
      </w:pPr>
      <w:r>
        <w:rPr>
          <w:rFonts w:hint="eastAsia" w:ascii="宋体" w:hAnsi="宋体" w:cs="仿宋_GB2312"/>
          <w:b w:val="0"/>
          <w:bCs w:val="0"/>
          <w:color w:val="auto"/>
          <w:sz w:val="24"/>
          <w:szCs w:val="24"/>
          <w:highlight w:val="none"/>
        </w:rPr>
        <w:t>3.中标候选人</w:t>
      </w:r>
    </w:p>
    <w:p>
      <w:pPr>
        <w:autoSpaceDE w:val="0"/>
        <w:autoSpaceDN w:val="0"/>
        <w:adjustRightInd w:val="0"/>
        <w:spacing w:line="360" w:lineRule="auto"/>
        <w:ind w:firstLine="480" w:firstLineChars="200"/>
        <w:jc w:val="left"/>
        <w:rPr>
          <w:rFonts w:ascii="宋体" w:hAnsi="宋体" w:cs="宋体"/>
          <w:b w:val="0"/>
          <w:bCs w:val="0"/>
          <w:color w:val="auto"/>
          <w:sz w:val="24"/>
          <w:szCs w:val="24"/>
          <w:highlight w:val="none"/>
        </w:rPr>
      </w:pPr>
      <w:r>
        <w:rPr>
          <w:rFonts w:hint="eastAsia" w:ascii="宋体" w:hAnsi="宋体" w:cs="仿宋_GB2312"/>
          <w:b w:val="0"/>
          <w:bCs w:val="0"/>
          <w:color w:val="auto"/>
          <w:sz w:val="24"/>
          <w:szCs w:val="24"/>
          <w:highlight w:val="none"/>
        </w:rPr>
        <w:t>经评审合格的投标文件，按投标人综合得分由高到低顺序依次推荐1-3名中标候选人。排名第一的为首选中标侯选人，以此类推第二、第三中标侯选人。当出现多家投标人的总得分相同时，以投标报价低者优先；投标报价再相同的，采用随机抽取方法确定排名顺序。</w:t>
      </w:r>
    </w:p>
    <w:p>
      <w:pPr>
        <w:autoSpaceDE w:val="0"/>
        <w:autoSpaceDN w:val="0"/>
        <w:adjustRightInd w:val="0"/>
        <w:spacing w:line="360" w:lineRule="auto"/>
        <w:jc w:val="left"/>
        <w:rPr>
          <w:rFonts w:ascii="宋体" w:hAnsi="宋体" w:cs="宋体"/>
          <w:b/>
          <w:bCs/>
          <w:color w:val="auto"/>
          <w:sz w:val="24"/>
          <w:szCs w:val="24"/>
          <w:highlight w:val="none"/>
        </w:rPr>
      </w:pPr>
    </w:p>
    <w:p>
      <w:pPr>
        <w:autoSpaceDE w:val="0"/>
        <w:autoSpaceDN w:val="0"/>
        <w:adjustRightInd w:val="0"/>
        <w:spacing w:line="360" w:lineRule="auto"/>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五、地址及联系方式</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地址：安徽省芜湖市鸠江区国泰路8号</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kern w:val="0"/>
          <w:sz w:val="24"/>
          <w:szCs w:val="24"/>
          <w:highlight w:val="none"/>
        </w:rPr>
        <w:t>汪工</w:t>
      </w:r>
      <w:r>
        <w:rPr>
          <w:rFonts w:hint="eastAsia" w:ascii="宋体" w:hAnsi="宋体" w:cs="宋体"/>
          <w:color w:val="auto"/>
          <w:sz w:val="24"/>
          <w:szCs w:val="24"/>
          <w:highlight w:val="none"/>
        </w:rPr>
        <w:t xml:space="preserve">    电话：</w:t>
      </w:r>
      <w:r>
        <w:rPr>
          <w:rFonts w:ascii="宋体" w:hAnsi="宋体" w:cs="宋体"/>
          <w:color w:val="auto"/>
          <w:sz w:val="24"/>
          <w:szCs w:val="24"/>
          <w:highlight w:val="none"/>
        </w:rPr>
        <w:t>13966006070</w:t>
      </w:r>
    </w:p>
    <w:p>
      <w:pPr>
        <w:widowControl/>
        <w:snapToGrid w:val="0"/>
        <w:spacing w:before="100" w:after="100"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邮箱：</w:t>
      </w:r>
      <w:r>
        <w:rPr>
          <w:rFonts w:ascii="宋体" w:hAnsi="宋体" w:cs="宋体"/>
          <w:color w:val="auto"/>
          <w:kern w:val="0"/>
          <w:sz w:val="24"/>
          <w:szCs w:val="24"/>
          <w:highlight w:val="none"/>
        </w:rPr>
        <w:t>1789149062@qq.com</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招标人：中铁时代建筑设计院有限公司</w:t>
      </w:r>
    </w:p>
    <w:p>
      <w:pPr>
        <w:adjustRightInd w:val="0"/>
        <w:snapToGrid w:val="0"/>
        <w:spacing w:line="360" w:lineRule="auto"/>
        <w:ind w:firstLine="480" w:firstLineChars="200"/>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2025年3月7日</w:t>
      </w:r>
    </w:p>
    <w:p>
      <w:pPr>
        <w:widowControl/>
        <w:jc w:val="left"/>
        <w:rPr>
          <w:b/>
          <w:color w:val="auto"/>
          <w:sz w:val="36"/>
          <w:szCs w:val="36"/>
          <w:highlight w:val="none"/>
        </w:rPr>
      </w:pPr>
      <w:r>
        <w:rPr>
          <w:b/>
          <w:color w:val="auto"/>
          <w:sz w:val="36"/>
          <w:szCs w:val="36"/>
          <w:highlight w:val="none"/>
        </w:rPr>
        <w:br w:type="page"/>
      </w:r>
    </w:p>
    <w:p>
      <w:pPr>
        <w:tabs>
          <w:tab w:val="left" w:pos="315"/>
          <w:tab w:val="left" w:pos="8820"/>
        </w:tabs>
        <w:spacing w:line="1220" w:lineRule="exact"/>
        <w:ind w:right="-25" w:rightChars="-12"/>
        <w:jc w:val="center"/>
        <w:rPr>
          <w:b/>
          <w:color w:val="auto"/>
          <w:sz w:val="36"/>
          <w:szCs w:val="36"/>
          <w:highlight w:val="none"/>
        </w:rPr>
      </w:pPr>
      <w:r>
        <w:rPr>
          <w:b/>
          <w:color w:val="auto"/>
          <w:sz w:val="36"/>
          <w:szCs w:val="36"/>
          <w:highlight w:val="none"/>
        </w:rPr>
        <w:t>投标文件格式</w:t>
      </w:r>
    </w:p>
    <w:p>
      <w:pPr>
        <w:tabs>
          <w:tab w:val="left" w:pos="315"/>
          <w:tab w:val="left" w:pos="8820"/>
        </w:tabs>
        <w:spacing w:line="360" w:lineRule="auto"/>
        <w:ind w:right="-25" w:rightChars="-12"/>
        <w:jc w:val="center"/>
        <w:rPr>
          <w:rFonts w:ascii="宋体" w:hAnsi="宋体" w:cs="宋体"/>
          <w:bCs/>
          <w:color w:val="auto"/>
          <w:spacing w:val="20"/>
          <w:sz w:val="30"/>
          <w:szCs w:val="30"/>
          <w:highlight w:val="none"/>
        </w:rPr>
      </w:pPr>
      <w:r>
        <w:rPr>
          <w:rFonts w:hint="eastAsia" w:ascii="宋体" w:hAnsi="宋体" w:cs="宋体"/>
          <w:bCs/>
          <w:color w:val="auto"/>
          <w:spacing w:val="20"/>
          <w:sz w:val="30"/>
          <w:szCs w:val="30"/>
          <w:highlight w:val="none"/>
        </w:rPr>
        <w:t>深南高铁SNSJ-2标（1标段）二次补充定测</w:t>
      </w:r>
    </w:p>
    <w:p>
      <w:pPr>
        <w:tabs>
          <w:tab w:val="left" w:pos="315"/>
          <w:tab w:val="left" w:pos="8820"/>
        </w:tabs>
        <w:spacing w:line="360" w:lineRule="auto"/>
        <w:ind w:right="-25" w:rightChars="-12"/>
        <w:jc w:val="center"/>
        <w:rPr>
          <w:rFonts w:ascii="宋体" w:hAnsi="宋体" w:cs="宋体"/>
          <w:bCs/>
          <w:color w:val="auto"/>
          <w:spacing w:val="20"/>
          <w:sz w:val="30"/>
          <w:szCs w:val="30"/>
          <w:highlight w:val="none"/>
        </w:rPr>
      </w:pPr>
      <w:r>
        <w:rPr>
          <w:rFonts w:hint="eastAsia" w:ascii="宋体" w:hAnsi="宋体" w:cs="宋体"/>
          <w:bCs/>
          <w:color w:val="auto"/>
          <w:spacing w:val="20"/>
          <w:sz w:val="30"/>
          <w:szCs w:val="30"/>
          <w:highlight w:val="none"/>
        </w:rPr>
        <w:t>阶段勘察劳务</w:t>
      </w:r>
    </w:p>
    <w:p>
      <w:pPr>
        <w:tabs>
          <w:tab w:val="left" w:pos="315"/>
          <w:tab w:val="left" w:pos="8820"/>
        </w:tabs>
        <w:spacing w:line="1220" w:lineRule="exact"/>
        <w:ind w:right="-25" w:rightChars="-12"/>
        <w:jc w:val="center"/>
        <w:rPr>
          <w:rFonts w:ascii="宋体" w:cs="Times New Roman"/>
          <w:bCs/>
          <w:color w:val="auto"/>
          <w:spacing w:val="20"/>
          <w:sz w:val="30"/>
          <w:szCs w:val="30"/>
          <w:highlight w:val="none"/>
        </w:rPr>
      </w:pPr>
      <w:r>
        <w:rPr>
          <w:rFonts w:hint="eastAsia" w:ascii="宋体" w:hAnsi="宋体" w:cs="宋体"/>
          <w:bCs/>
          <w:color w:val="auto"/>
          <w:spacing w:val="20"/>
          <w:sz w:val="30"/>
          <w:szCs w:val="30"/>
          <w:highlight w:val="none"/>
        </w:rPr>
        <w:t>投标文件</w:t>
      </w: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宋体" w:cs="Times New Roman"/>
          <w:b/>
          <w:bCs/>
          <w:color w:val="auto"/>
          <w:spacing w:val="20"/>
          <w:sz w:val="48"/>
          <w:szCs w:val="48"/>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560" w:lineRule="exact"/>
        <w:jc w:val="center"/>
        <w:rPr>
          <w:rFonts w:ascii="仿宋_GB2312" w:hAnsi="Times New Roman" w:cs="仿宋_GB2312"/>
          <w:color w:val="auto"/>
          <w:sz w:val="32"/>
          <w:szCs w:val="32"/>
          <w:highlight w:val="none"/>
        </w:rPr>
      </w:pPr>
    </w:p>
    <w:p>
      <w:pPr>
        <w:spacing w:line="360" w:lineRule="auto"/>
        <w:jc w:val="center"/>
        <w:rPr>
          <w:rFonts w:ascii="仿宋_GB2312" w:hAnsi="Times New Roman" w:cs="仿宋_GB2312"/>
          <w:color w:val="auto"/>
          <w:sz w:val="32"/>
          <w:szCs w:val="32"/>
          <w:highlight w:val="none"/>
          <w:u w:val="single"/>
        </w:rPr>
      </w:pPr>
      <w:r>
        <w:rPr>
          <w:rFonts w:ascii="仿宋_GB2312" w:hAnsi="Times New Roman" w:cs="仿宋_GB2312"/>
          <w:color w:val="auto"/>
          <w:sz w:val="32"/>
          <w:szCs w:val="32"/>
          <w:highlight w:val="none"/>
        </w:rPr>
        <w:t>投标人</w:t>
      </w:r>
      <w:r>
        <w:rPr>
          <w:rFonts w:hint="eastAsia" w:ascii="仿宋_GB2312" w:hAnsi="Times New Roman" w:cs="仿宋_GB2312"/>
          <w:color w:val="auto"/>
          <w:sz w:val="32"/>
          <w:szCs w:val="32"/>
          <w:highlight w:val="none"/>
        </w:rPr>
        <w:t>：</w:t>
      </w:r>
    </w:p>
    <w:p>
      <w:pPr>
        <w:spacing w:line="360" w:lineRule="auto"/>
        <w:jc w:val="center"/>
        <w:rPr>
          <w:rFonts w:ascii="仿宋_GB2312" w:hAnsi="Times New Roman" w:cs="仿宋_GB2312"/>
          <w:color w:val="auto"/>
          <w:sz w:val="32"/>
          <w:szCs w:val="32"/>
          <w:highlight w:val="none"/>
        </w:rPr>
      </w:pPr>
      <w:r>
        <w:rPr>
          <w:rFonts w:ascii="仿宋_GB2312" w:hAnsi="Times New Roman" w:cs="仿宋_GB2312"/>
          <w:color w:val="auto"/>
          <w:sz w:val="32"/>
          <w:szCs w:val="32"/>
          <w:highlight w:val="none"/>
        </w:rPr>
        <w:t>年</w:t>
      </w:r>
      <w:r>
        <w:rPr>
          <w:rFonts w:hint="eastAsia" w:ascii="仿宋_GB2312" w:hAnsi="Times New Roman" w:cs="仿宋_GB2312"/>
          <w:color w:val="auto"/>
          <w:sz w:val="32"/>
          <w:szCs w:val="32"/>
          <w:highlight w:val="none"/>
        </w:rPr>
        <w:t xml:space="preserve">  </w:t>
      </w:r>
      <w:r>
        <w:rPr>
          <w:rFonts w:ascii="仿宋_GB2312" w:hAnsi="Times New Roman" w:cs="仿宋_GB2312"/>
          <w:color w:val="auto"/>
          <w:sz w:val="32"/>
          <w:szCs w:val="32"/>
          <w:highlight w:val="none"/>
        </w:rPr>
        <w:t>月</w:t>
      </w:r>
      <w:r>
        <w:rPr>
          <w:rFonts w:hint="eastAsia" w:ascii="仿宋_GB2312" w:hAnsi="Times New Roman" w:cs="仿宋_GB2312"/>
          <w:color w:val="auto"/>
          <w:sz w:val="32"/>
          <w:szCs w:val="32"/>
          <w:highlight w:val="none"/>
        </w:rPr>
        <w:t xml:space="preserve">  </w:t>
      </w:r>
      <w:r>
        <w:rPr>
          <w:rFonts w:ascii="仿宋_GB2312" w:hAnsi="Times New Roman" w:cs="仿宋_GB2312"/>
          <w:color w:val="auto"/>
          <w:sz w:val="32"/>
          <w:szCs w:val="32"/>
          <w:highlight w:val="none"/>
        </w:rPr>
        <w:t>日</w:t>
      </w:r>
    </w:p>
    <w:p>
      <w:pPr>
        <w:widowControl/>
        <w:jc w:val="left"/>
        <w:rPr>
          <w:rFonts w:ascii="宋体" w:hAnsi="宋体"/>
          <w:b/>
          <w:color w:val="auto"/>
          <w:sz w:val="28"/>
          <w:szCs w:val="28"/>
          <w:highlight w:val="none"/>
        </w:rPr>
      </w:pPr>
      <w:bookmarkStart w:id="5" w:name="_Toc411415132"/>
      <w:r>
        <w:rPr>
          <w:rFonts w:ascii="宋体" w:hAnsi="宋体"/>
          <w:b/>
          <w:color w:val="auto"/>
          <w:sz w:val="28"/>
          <w:szCs w:val="28"/>
          <w:highlight w:val="none"/>
        </w:rPr>
        <w:br w:type="page"/>
      </w:r>
    </w:p>
    <w:p>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投标函</w:t>
      </w:r>
      <w:bookmarkEnd w:id="5"/>
    </w:p>
    <w:p>
      <w:pPr>
        <w:spacing w:line="360" w:lineRule="auto"/>
        <w:rPr>
          <w:rFonts w:ascii="宋体" w:hAnsi="宋体"/>
          <w:color w:val="auto"/>
          <w:highlight w:val="none"/>
        </w:rPr>
      </w:pPr>
    </w:p>
    <w:p>
      <w:pPr>
        <w:spacing w:line="480" w:lineRule="auto"/>
        <w:rPr>
          <w:rFonts w:ascii="宋体" w:hAnsi="宋体"/>
          <w:b/>
          <w:color w:val="auto"/>
          <w:sz w:val="24"/>
          <w:szCs w:val="24"/>
          <w:highlight w:val="none"/>
        </w:rPr>
      </w:pPr>
      <w:r>
        <w:rPr>
          <w:rFonts w:hint="eastAsia" w:ascii="宋体" w:hAnsi="宋体"/>
          <w:b/>
          <w:color w:val="auto"/>
          <w:sz w:val="24"/>
          <w:szCs w:val="24"/>
          <w:highlight w:val="none"/>
        </w:rPr>
        <w:t>致：</w:t>
      </w:r>
      <w:r>
        <w:rPr>
          <w:rFonts w:hint="eastAsia" w:ascii="宋体" w:hAnsi="宋体"/>
          <w:b/>
          <w:color w:val="auto"/>
          <w:sz w:val="24"/>
          <w:szCs w:val="24"/>
          <w:highlight w:val="none"/>
          <w:u w:val="single"/>
        </w:rPr>
        <w:t xml:space="preserve">       </w:t>
      </w:r>
      <w:r>
        <w:rPr>
          <w:rFonts w:hint="eastAsia" w:ascii="宋体" w:hAnsi="宋体"/>
          <w:b/>
          <w:color w:val="auto"/>
          <w:sz w:val="24"/>
          <w:szCs w:val="24"/>
          <w:highlight w:val="none"/>
        </w:rPr>
        <w:t>（招标人）：</w:t>
      </w:r>
    </w:p>
    <w:p>
      <w:pPr>
        <w:numPr>
          <w:ilvl w:val="0"/>
          <w:numId w:val="1"/>
        </w:num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经考察现场和研究本项目招标文件以及贵方有关文件后，我方愿以（小写： 陆域机钻孔</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元/米、静力触探孔</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元/米，运输费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元/台，中转费</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元/台，四舍五入保留两位小数）的报价承担</w:t>
      </w:r>
      <w:r>
        <w:rPr>
          <w:rFonts w:hint="eastAsia" w:asciiTheme="minorEastAsia" w:hAnsiTheme="minorEastAsia" w:eastAsiaTheme="minorEastAsia"/>
          <w:color w:val="auto"/>
          <w:sz w:val="24"/>
          <w:szCs w:val="24"/>
          <w:highlight w:val="none"/>
          <w:u w:val="single"/>
        </w:rPr>
        <w:t>深南高铁SNSJ-</w:t>
      </w:r>
      <w:r>
        <w:rPr>
          <w:rFonts w:hint="eastAsia" w:asciiTheme="minorEastAsia" w:hAnsiTheme="minorEastAsia"/>
          <w:color w:val="auto"/>
          <w:sz w:val="24"/>
          <w:szCs w:val="24"/>
          <w:highlight w:val="none"/>
          <w:u w:val="single"/>
        </w:rPr>
        <w:t>2</w:t>
      </w:r>
      <w:r>
        <w:rPr>
          <w:rFonts w:hint="eastAsia" w:asciiTheme="minorEastAsia" w:hAnsiTheme="minorEastAsia" w:eastAsiaTheme="minorEastAsia"/>
          <w:color w:val="auto"/>
          <w:sz w:val="24"/>
          <w:szCs w:val="24"/>
          <w:highlight w:val="none"/>
          <w:u w:val="single"/>
        </w:rPr>
        <w:t>标（1标段）二次补充定测阶段勘察</w:t>
      </w:r>
      <w:r>
        <w:rPr>
          <w:rFonts w:hint="eastAsia" w:ascii="宋体" w:hAnsi="宋体"/>
          <w:color w:val="auto"/>
          <w:sz w:val="24"/>
          <w:szCs w:val="24"/>
          <w:highlight w:val="none"/>
        </w:rPr>
        <w:t>的劳务服务任务。</w:t>
      </w:r>
    </w:p>
    <w:p>
      <w:pPr>
        <w:spacing w:line="48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我方承诺：我方、我方法定代表人、拟派项目负责人自开标之日上推前三年内无行贿犯罪记录。</w:t>
      </w:r>
    </w:p>
    <w:p>
      <w:pPr>
        <w:spacing w:line="48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我方承诺：我方至本项目评标日，不存在下列情形之一：被列入最高人民法院“失信被执行人名单”；被列入国家市场监督管理总局“严重违法失信企业名单”（在一定期限内禁止参加依法进行的招标采购活动的行政处罚且在行政处罚期限内的）；被列入信用中国网站“拖欠农民工工资失信联合惩戒对象名单”。</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 我方已详细审核全部投标文件，包括修改文件（如有)及有关附件，我方对投标文件中所提供资料、文件、证书及证件的真实性和有效性负责。</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 我方理解你单位不负担我们的任何投标费用。</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6、 我方完全理解招标人不一定将合同授予报价最低的投标人。</w:t>
      </w:r>
    </w:p>
    <w:p>
      <w:pPr>
        <w:spacing w:line="360" w:lineRule="auto"/>
        <w:rPr>
          <w:rFonts w:ascii="宋体" w:hAnsi="宋体"/>
          <w:color w:val="auto"/>
          <w:sz w:val="24"/>
          <w:szCs w:val="24"/>
          <w:highlight w:val="none"/>
        </w:rPr>
      </w:pPr>
    </w:p>
    <w:p>
      <w:pPr>
        <w:spacing w:line="360" w:lineRule="auto"/>
        <w:rPr>
          <w:rFonts w:ascii="宋体" w:hAnsi="宋体"/>
          <w:color w:val="auto"/>
          <w:sz w:val="24"/>
          <w:szCs w:val="24"/>
          <w:highlight w:val="none"/>
        </w:rPr>
      </w:pPr>
    </w:p>
    <w:p>
      <w:pPr>
        <w:spacing w:line="480" w:lineRule="auto"/>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（盖单位公章）</w:t>
      </w:r>
    </w:p>
    <w:p>
      <w:pPr>
        <w:spacing w:line="480" w:lineRule="auto"/>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r>
        <w:rPr>
          <w:rFonts w:hint="eastAsia" w:ascii="宋体" w:hAnsi="宋体"/>
          <w:color w:val="auto"/>
          <w:sz w:val="24"/>
          <w:szCs w:val="24"/>
          <w:highlight w:val="none"/>
        </w:rPr>
        <w:t>签字或盖章</w:t>
      </w:r>
      <w:r>
        <w:rPr>
          <w:rFonts w:ascii="宋体" w:hAnsi="宋体"/>
          <w:color w:val="auto"/>
          <w:sz w:val="24"/>
          <w:szCs w:val="24"/>
          <w:highlight w:val="none"/>
        </w:rPr>
        <w:t>）</w:t>
      </w:r>
    </w:p>
    <w:p>
      <w:pPr>
        <w:spacing w:line="480" w:lineRule="auto"/>
        <w:rPr>
          <w:b/>
          <w:color w:val="auto"/>
          <w:sz w:val="32"/>
          <w:szCs w:val="32"/>
          <w:highlight w:val="none"/>
        </w:rPr>
      </w:pPr>
      <w:r>
        <w:rPr>
          <w:rFonts w:ascii="宋体" w:hAnsi="宋体"/>
          <w:color w:val="auto"/>
          <w:sz w:val="24"/>
          <w:szCs w:val="24"/>
          <w:highlight w:val="none"/>
        </w:rPr>
        <w:t>日期</w:t>
      </w:r>
      <w:r>
        <w:rPr>
          <w:rFonts w:hint="eastAsia" w:ascii="宋体" w:hAnsi="宋体"/>
          <w:color w:val="auto"/>
          <w:sz w:val="24"/>
          <w:szCs w:val="24"/>
          <w:highlight w:val="none"/>
        </w:rPr>
        <w:t xml:space="preserve">：    </w:t>
      </w:r>
      <w:r>
        <w:rPr>
          <w:rFonts w:ascii="宋体" w:hAnsi="宋体"/>
          <w:color w:val="auto"/>
          <w:sz w:val="24"/>
          <w:szCs w:val="24"/>
          <w:highlight w:val="none"/>
        </w:rPr>
        <w:t>年</w:t>
      </w:r>
      <w:r>
        <w:rPr>
          <w:rFonts w:hint="eastAsia" w:ascii="宋体" w:hAnsi="宋体"/>
          <w:color w:val="auto"/>
          <w:sz w:val="24"/>
          <w:szCs w:val="24"/>
          <w:highlight w:val="none"/>
        </w:rPr>
        <w:t xml:space="preserve">    </w:t>
      </w:r>
      <w:r>
        <w:rPr>
          <w:rFonts w:ascii="宋体" w:hAnsi="宋体"/>
          <w:color w:val="auto"/>
          <w:sz w:val="24"/>
          <w:szCs w:val="24"/>
          <w:highlight w:val="none"/>
        </w:rPr>
        <w:t>月</w:t>
      </w:r>
      <w:r>
        <w:rPr>
          <w:rFonts w:hint="eastAsia" w:ascii="宋体" w:hAnsi="宋体"/>
          <w:color w:val="auto"/>
          <w:sz w:val="24"/>
          <w:szCs w:val="24"/>
          <w:highlight w:val="none"/>
        </w:rPr>
        <w:t xml:space="preserve">    </w:t>
      </w:r>
      <w:r>
        <w:rPr>
          <w:rFonts w:ascii="宋体" w:hAnsi="宋体"/>
          <w:color w:val="auto"/>
          <w:sz w:val="24"/>
          <w:szCs w:val="24"/>
          <w:highlight w:val="none"/>
        </w:rPr>
        <w:t>日</w:t>
      </w:r>
      <w:r>
        <w:rPr>
          <w:b/>
          <w:color w:val="auto"/>
          <w:sz w:val="32"/>
          <w:szCs w:val="32"/>
          <w:highlight w:val="none"/>
        </w:rPr>
        <w:br w:type="page"/>
      </w:r>
    </w:p>
    <w:p>
      <w:pPr>
        <w:widowControl/>
        <w:jc w:val="center"/>
        <w:rPr>
          <w:b/>
          <w:color w:val="auto"/>
          <w:sz w:val="28"/>
          <w:szCs w:val="28"/>
          <w:highlight w:val="none"/>
        </w:rPr>
      </w:pPr>
      <w:r>
        <w:rPr>
          <w:b/>
          <w:color w:val="auto"/>
          <w:sz w:val="28"/>
          <w:szCs w:val="28"/>
          <w:highlight w:val="none"/>
        </w:rPr>
        <w:t>授权委托书</w:t>
      </w:r>
    </w:p>
    <w:p>
      <w:pPr>
        <w:spacing w:line="200" w:lineRule="exact"/>
        <w:rPr>
          <w:rFonts w:eastAsia="Times New Roman"/>
          <w:color w:val="auto"/>
          <w:sz w:val="24"/>
          <w:szCs w:val="24"/>
          <w:highlight w:val="none"/>
        </w:rPr>
      </w:pPr>
    </w:p>
    <w:p>
      <w:pPr>
        <w:spacing w:line="480" w:lineRule="auto"/>
        <w:ind w:firstLine="420"/>
        <w:rPr>
          <w:rFonts w:ascii="宋体" w:hAnsi="宋体"/>
          <w:color w:val="auto"/>
          <w:sz w:val="24"/>
          <w:szCs w:val="24"/>
          <w:highlight w:val="none"/>
        </w:rPr>
      </w:pPr>
      <w:r>
        <w:rPr>
          <w:rFonts w:hint="eastAsia" w:ascii="宋体" w:hAnsi="宋体"/>
          <w:color w:val="auto"/>
          <w:sz w:val="24"/>
          <w:szCs w:val="24"/>
          <w:highlight w:val="none"/>
        </w:rPr>
        <w:t>本授权委托书申明，我</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(投标人名称)的法定代表人，现授权委托</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(姓名)为我方代理人，参加</w:t>
      </w:r>
      <w:r>
        <w:rPr>
          <w:rFonts w:hint="eastAsia" w:asciiTheme="minorEastAsia" w:hAnsiTheme="minorEastAsia" w:eastAsiaTheme="minorEastAsia"/>
          <w:color w:val="auto"/>
          <w:sz w:val="24"/>
          <w:szCs w:val="24"/>
          <w:highlight w:val="none"/>
          <w:u w:val="single"/>
        </w:rPr>
        <w:t>深南高铁SNSJ-</w:t>
      </w:r>
      <w:r>
        <w:rPr>
          <w:rFonts w:hint="eastAsia" w:asciiTheme="minorEastAsia" w:hAnsiTheme="minorEastAsia"/>
          <w:color w:val="auto"/>
          <w:sz w:val="24"/>
          <w:szCs w:val="24"/>
          <w:highlight w:val="none"/>
          <w:u w:val="single"/>
        </w:rPr>
        <w:t>2</w:t>
      </w:r>
      <w:r>
        <w:rPr>
          <w:rFonts w:hint="eastAsia" w:asciiTheme="minorEastAsia" w:hAnsiTheme="minorEastAsia" w:eastAsiaTheme="minorEastAsia"/>
          <w:color w:val="auto"/>
          <w:sz w:val="24"/>
          <w:szCs w:val="24"/>
          <w:highlight w:val="none"/>
          <w:u w:val="single"/>
        </w:rPr>
        <w:t>标（1标段）二次补充定测阶段勘察</w:t>
      </w:r>
      <w:r>
        <w:rPr>
          <w:rFonts w:hint="eastAsia" w:ascii="宋体" w:hAnsi="宋体"/>
          <w:color w:val="auto"/>
          <w:sz w:val="24"/>
          <w:szCs w:val="24"/>
          <w:highlight w:val="none"/>
        </w:rPr>
        <w:t>项目的投标活动。代理人在本项目的投标、开标、评标、合同谈判过程中所签署的一切文件和处理与之有关的一切事物，我均予以承认，并承担其法律后果。委托期限：自本委托书签发之日起，至本招标项目签订正式合同时止。</w:t>
      </w:r>
    </w:p>
    <w:p>
      <w:pPr>
        <w:spacing w:line="480" w:lineRule="auto"/>
        <w:ind w:firstLine="420"/>
        <w:rPr>
          <w:rFonts w:ascii="宋体" w:hAnsi="宋体"/>
          <w:color w:val="auto"/>
          <w:sz w:val="24"/>
          <w:szCs w:val="24"/>
          <w:highlight w:val="none"/>
        </w:rPr>
      </w:pPr>
      <w:r>
        <w:rPr>
          <w:rFonts w:hint="eastAsia" w:ascii="宋体" w:hAnsi="宋体"/>
          <w:color w:val="auto"/>
          <w:sz w:val="24"/>
          <w:szCs w:val="24"/>
          <w:highlight w:val="none"/>
        </w:rPr>
        <w:t>代理人无转委托权，特此委托。</w:t>
      </w:r>
    </w:p>
    <w:p>
      <w:pPr>
        <w:spacing w:line="480" w:lineRule="auto"/>
        <w:ind w:firstLine="480" w:firstLineChars="200"/>
        <w:rPr>
          <w:rFonts w:ascii="宋体" w:hAnsi="宋体"/>
          <w:color w:val="auto"/>
          <w:sz w:val="24"/>
          <w:szCs w:val="24"/>
          <w:highlight w:val="none"/>
        </w:rPr>
      </w:pP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代理人：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w:t>
      </w:r>
    </w:p>
    <w:p>
      <w:pPr>
        <w:widowControl/>
        <w:spacing w:line="480" w:lineRule="auto"/>
        <w:ind w:firstLine="480" w:firstLineChars="200"/>
        <w:rPr>
          <w:rFonts w:ascii="宋体" w:hAnsi="宋体"/>
          <w:color w:val="auto"/>
          <w:kern w:val="0"/>
          <w:sz w:val="24"/>
          <w:szCs w:val="24"/>
          <w:highlight w:val="none"/>
        </w:rPr>
      </w:pPr>
      <w:r>
        <w:rPr>
          <w:rFonts w:hint="eastAsia" w:ascii="宋体" w:hAnsi="宋体"/>
          <w:color w:val="auto"/>
          <w:sz w:val="24"/>
          <w:szCs w:val="24"/>
          <w:highlight w:val="none"/>
        </w:rPr>
        <w:t>代理人身份证号码：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r>
        <w:rPr>
          <w:rFonts w:hint="eastAsia" w:ascii="宋体" w:hAnsi="宋体"/>
          <w:color w:val="auto"/>
          <w:kern w:val="0"/>
          <w:sz w:val="24"/>
          <w:szCs w:val="24"/>
          <w:highlight w:val="none"/>
        </w:rPr>
        <w:t xml:space="preserve"> </w:t>
      </w:r>
    </w:p>
    <w:p>
      <w:pPr>
        <w:spacing w:line="48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p>
    <w:p>
      <w:pPr>
        <w:spacing w:line="48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（盖单位公章）</w:t>
      </w:r>
      <w:r>
        <w:rPr>
          <w:rFonts w:ascii="宋体" w:hAnsi="宋体"/>
          <w:color w:val="auto"/>
          <w:sz w:val="24"/>
          <w:szCs w:val="24"/>
          <w:highlight w:val="non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（签字或盖章）</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法定代表人身份证号码：</w:t>
      </w:r>
      <w:r>
        <w:rPr>
          <w:rFonts w:hint="eastAsia" w:ascii="宋体" w:hAnsi="宋体"/>
          <w:color w:val="auto"/>
          <w:sz w:val="24"/>
          <w:szCs w:val="24"/>
          <w:highlight w:val="none"/>
          <w:u w:val="single"/>
        </w:rPr>
        <w:t xml:space="preserve">                     </w:t>
      </w:r>
      <w:r>
        <w:rPr>
          <w:rFonts w:hint="eastAsia" w:ascii="宋体" w:hAnsi="宋体"/>
          <w:color w:val="auto"/>
          <w:kern w:val="0"/>
          <w:sz w:val="24"/>
          <w:szCs w:val="24"/>
          <w:highlight w:val="none"/>
        </w:rPr>
        <w:t xml:space="preserve"> </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签发日期：   年   月   日</w:t>
      </w:r>
    </w:p>
    <w:p>
      <w:pPr>
        <w:widowControl/>
        <w:jc w:val="left"/>
        <w:rPr>
          <w:b/>
          <w:color w:val="auto"/>
          <w:sz w:val="32"/>
          <w:szCs w:val="32"/>
          <w:highlight w:val="none"/>
        </w:rPr>
      </w:pPr>
    </w:p>
    <w:p>
      <w:pPr>
        <w:widowControl/>
        <w:ind w:firstLine="480" w:firstLineChars="200"/>
        <w:jc w:val="left"/>
        <w:rPr>
          <w:color w:val="auto"/>
          <w:sz w:val="24"/>
          <w:szCs w:val="24"/>
          <w:highlight w:val="none"/>
        </w:rPr>
      </w:pPr>
    </w:p>
    <w:p>
      <w:pPr>
        <w:widowControl/>
        <w:ind w:firstLine="482" w:firstLineChars="200"/>
        <w:jc w:val="center"/>
        <w:rPr>
          <w:b/>
          <w:color w:val="auto"/>
          <w:sz w:val="24"/>
          <w:szCs w:val="24"/>
          <w:highlight w:val="none"/>
        </w:rPr>
      </w:pPr>
      <w:r>
        <w:rPr>
          <w:b/>
          <w:color w:val="auto"/>
          <w:sz w:val="24"/>
          <w:szCs w:val="24"/>
          <w:highlight w:val="none"/>
        </w:rPr>
        <w:t>附法定代表人及授权代理人身份证扫描件</w:t>
      </w:r>
    </w:p>
    <w:p>
      <w:pPr>
        <w:widowControl/>
        <w:jc w:val="left"/>
        <w:rPr>
          <w:b/>
          <w:color w:val="auto"/>
          <w:sz w:val="32"/>
          <w:szCs w:val="32"/>
          <w:highlight w:val="none"/>
        </w:rPr>
      </w:pPr>
      <w:r>
        <w:rPr>
          <w:b/>
          <w:color w:val="auto"/>
          <w:sz w:val="32"/>
          <w:szCs w:val="32"/>
          <w:highlight w:val="none"/>
        </w:rPr>
        <w:br w:type="page"/>
      </w:r>
    </w:p>
    <w:p>
      <w:pPr>
        <w:widowControl/>
        <w:jc w:val="center"/>
        <w:rPr>
          <w:b/>
          <w:color w:val="auto"/>
          <w:sz w:val="28"/>
          <w:szCs w:val="28"/>
          <w:highlight w:val="none"/>
        </w:rPr>
      </w:pPr>
      <w:r>
        <w:rPr>
          <w:b/>
          <w:color w:val="auto"/>
          <w:sz w:val="28"/>
          <w:szCs w:val="28"/>
          <w:highlight w:val="none"/>
        </w:rPr>
        <w:t>基本情况表</w:t>
      </w:r>
    </w:p>
    <w:tbl>
      <w:tblPr>
        <w:tblStyle w:val="27"/>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961"/>
        <w:gridCol w:w="1084"/>
        <w:gridCol w:w="1276"/>
        <w:gridCol w:w="425"/>
        <w:gridCol w:w="851"/>
        <w:gridCol w:w="650"/>
        <w:gridCol w:w="286"/>
        <w:gridCol w:w="1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273"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3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7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676"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6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7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w:t>
            </w:r>
            <w:r>
              <w:rPr>
                <w:rFonts w:hint="default" w:ascii="宋体" w:hAnsi="宋体" w:cs="宋体"/>
                <w:color w:val="auto"/>
                <w:sz w:val="24"/>
                <w:szCs w:val="24"/>
                <w:highlight w:val="none"/>
              </w:rPr>
              <w:t xml:space="preserve"> </w:t>
            </w:r>
            <w:r>
              <w:rPr>
                <w:rFonts w:hint="eastAsia" w:ascii="宋体" w:hAnsi="宋体" w:cs="宋体"/>
                <w:color w:val="auto"/>
                <w:sz w:val="24"/>
                <w:szCs w:val="24"/>
                <w:highlight w:val="none"/>
              </w:rPr>
              <w:t>话</w:t>
            </w:r>
          </w:p>
        </w:tc>
        <w:tc>
          <w:tcPr>
            <w:tcW w:w="2676"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04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传真</w:t>
            </w:r>
          </w:p>
        </w:tc>
        <w:tc>
          <w:tcPr>
            <w:tcW w:w="2360"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7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网</w:t>
            </w:r>
            <w:r>
              <w:rPr>
                <w:rFonts w:hint="default" w:ascii="宋体" w:hAnsi="宋体" w:cs="宋体"/>
                <w:color w:val="auto"/>
                <w:sz w:val="24"/>
                <w:szCs w:val="24"/>
                <w:highlight w:val="none"/>
              </w:rPr>
              <w:t xml:space="preserve"> </w:t>
            </w:r>
            <w:r>
              <w:rPr>
                <w:rFonts w:hint="eastAsia" w:ascii="宋体" w:hAnsi="宋体" w:cs="宋体"/>
                <w:color w:val="auto"/>
                <w:sz w:val="24"/>
                <w:szCs w:val="24"/>
                <w:highlight w:val="none"/>
              </w:rPr>
              <w:t>址</w:t>
            </w:r>
          </w:p>
        </w:tc>
        <w:tc>
          <w:tcPr>
            <w:tcW w:w="2676"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bookmarkStart w:id="6" w:name="_GoBack"/>
            <w:bookmarkEnd w:id="6"/>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08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7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3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17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961"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姓名</w:t>
            </w:r>
          </w:p>
        </w:tc>
        <w:tc>
          <w:tcPr>
            <w:tcW w:w="1084"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276"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7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93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电话</w:t>
            </w:r>
          </w:p>
        </w:tc>
        <w:tc>
          <w:tcPr>
            <w:tcW w:w="1740"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资质证书</w:t>
            </w:r>
          </w:p>
        </w:tc>
        <w:tc>
          <w:tcPr>
            <w:tcW w:w="7273"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质量管理体系证书</w:t>
            </w:r>
          </w:p>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（如有）</w:t>
            </w:r>
          </w:p>
        </w:tc>
        <w:tc>
          <w:tcPr>
            <w:tcW w:w="7273"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类型：</w:t>
            </w:r>
            <w:r>
              <w:rPr>
                <w:rFonts w:hint="default" w:ascii="宋体" w:hAnsi="宋体" w:cs="宋体"/>
                <w:color w:val="auto"/>
                <w:sz w:val="24"/>
                <w:szCs w:val="24"/>
                <w:highlight w:val="none"/>
              </w:rPr>
              <w:t xml:space="preserve">     </w:t>
            </w:r>
            <w:r>
              <w:rPr>
                <w:rFonts w:hint="eastAsia" w:ascii="宋体" w:hAnsi="宋体" w:cs="宋体"/>
                <w:color w:val="auto"/>
                <w:sz w:val="24"/>
                <w:szCs w:val="24"/>
                <w:highlight w:val="none"/>
              </w:rPr>
              <w:t>等级：</w:t>
            </w:r>
            <w:r>
              <w:rPr>
                <w:rFonts w:hint="default" w:ascii="宋体" w:hAnsi="宋体" w:cs="宋体"/>
                <w:color w:val="auto"/>
                <w:sz w:val="24"/>
                <w:szCs w:val="24"/>
                <w:highlight w:val="none"/>
              </w:rPr>
              <w:t xml:space="preserve">     </w:t>
            </w:r>
            <w:r>
              <w:rPr>
                <w:rFonts w:hint="eastAsia" w:ascii="宋体" w:hAnsi="宋体" w:cs="宋体"/>
                <w:color w:val="auto"/>
                <w:sz w:val="24"/>
                <w:szCs w:val="24"/>
                <w:highlight w:val="none"/>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33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3952" w:type="dxa"/>
            <w:gridSpan w:val="5"/>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注册资本</w:t>
            </w:r>
          </w:p>
        </w:tc>
        <w:tc>
          <w:tcPr>
            <w:tcW w:w="33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425" w:type="dxa"/>
            <w:vMerge w:val="restart"/>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其</w:t>
            </w:r>
          </w:p>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中</w:t>
            </w:r>
          </w:p>
        </w:tc>
        <w:tc>
          <w:tcPr>
            <w:tcW w:w="150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20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成立日期</w:t>
            </w:r>
          </w:p>
        </w:tc>
        <w:tc>
          <w:tcPr>
            <w:tcW w:w="33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42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0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20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33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42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0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技术人员数量</w:t>
            </w:r>
          </w:p>
        </w:tc>
        <w:tc>
          <w:tcPr>
            <w:tcW w:w="20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3321" w:type="dxa"/>
            <w:gridSpan w:val="3"/>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425" w:type="dxa"/>
            <w:vMerge w:val="continue"/>
            <w:tcBorders>
              <w:top w:val="nil"/>
            </w:tcBorders>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c>
          <w:tcPr>
            <w:tcW w:w="1501"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各类注册人员</w:t>
            </w:r>
          </w:p>
        </w:tc>
        <w:tc>
          <w:tcPr>
            <w:tcW w:w="202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273" w:type="dxa"/>
            <w:gridSpan w:val="8"/>
            <w:vAlign w:val="center"/>
          </w:tcPr>
          <w:p>
            <w:pPr>
              <w:keepNext w:val="0"/>
              <w:keepLines w:val="0"/>
              <w:suppressLineNumbers w:val="0"/>
              <w:spacing w:before="0" w:beforeAutospacing="0" w:after="0" w:afterAutospacing="0"/>
              <w:ind w:left="0" w:right="0"/>
              <w:jc w:val="left"/>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0"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7273"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2045" w:type="dxa"/>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r>
              <w:rPr>
                <w:rFonts w:hint="eastAsia" w:ascii="宋体" w:hAnsi="宋体" w:cs="宋体"/>
                <w:color w:val="auto"/>
                <w:sz w:val="24"/>
                <w:szCs w:val="24"/>
                <w:highlight w:val="none"/>
              </w:rPr>
              <w:t>备注</w:t>
            </w:r>
          </w:p>
        </w:tc>
        <w:tc>
          <w:tcPr>
            <w:tcW w:w="7273" w:type="dxa"/>
            <w:gridSpan w:val="8"/>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4"/>
                <w:szCs w:val="24"/>
                <w:highlight w:val="none"/>
              </w:rPr>
            </w:pPr>
          </w:p>
        </w:tc>
      </w:tr>
    </w:tbl>
    <w:p>
      <w:pPr>
        <w:spacing w:line="256" w:lineRule="exact"/>
        <w:rPr>
          <w:rFonts w:ascii="宋体" w:hAnsi="宋体"/>
          <w:color w:val="auto"/>
          <w:highlight w:val="none"/>
        </w:rPr>
      </w:pPr>
    </w:p>
    <w:p>
      <w:pPr>
        <w:spacing w:line="256" w:lineRule="exact"/>
        <w:rPr>
          <w:rFonts w:ascii="宋体" w:hAnsi="宋体"/>
          <w:color w:val="auto"/>
          <w:sz w:val="24"/>
          <w:szCs w:val="24"/>
          <w:highlight w:val="none"/>
        </w:rPr>
      </w:pPr>
      <w:r>
        <w:rPr>
          <w:rFonts w:ascii="宋体" w:hAnsi="宋体"/>
          <w:color w:val="auto"/>
          <w:sz w:val="24"/>
          <w:szCs w:val="24"/>
          <w:highlight w:val="none"/>
        </w:rPr>
        <w:t>注：表后附</w:t>
      </w:r>
      <w:r>
        <w:rPr>
          <w:rFonts w:hint="eastAsia" w:ascii="宋体" w:hAnsi="宋体"/>
          <w:color w:val="auto"/>
          <w:sz w:val="24"/>
          <w:szCs w:val="24"/>
          <w:highlight w:val="none"/>
        </w:rPr>
        <w:t>企业</w:t>
      </w:r>
      <w:r>
        <w:rPr>
          <w:rFonts w:ascii="宋体" w:hAnsi="宋体"/>
          <w:color w:val="auto"/>
          <w:sz w:val="24"/>
          <w:szCs w:val="24"/>
          <w:highlight w:val="none"/>
        </w:rPr>
        <w:t>营业执照</w:t>
      </w:r>
      <w:r>
        <w:rPr>
          <w:rFonts w:hint="eastAsia" w:ascii="宋体" w:hAnsi="宋体"/>
          <w:color w:val="auto"/>
          <w:sz w:val="24"/>
          <w:szCs w:val="24"/>
          <w:highlight w:val="none"/>
        </w:rPr>
        <w:t>、</w:t>
      </w:r>
      <w:r>
        <w:rPr>
          <w:rFonts w:ascii="宋体" w:hAnsi="宋体"/>
          <w:color w:val="auto"/>
          <w:sz w:val="24"/>
          <w:szCs w:val="24"/>
          <w:highlight w:val="none"/>
        </w:rPr>
        <w:t>资质证书</w:t>
      </w:r>
    </w:p>
    <w:p>
      <w:pPr>
        <w:pStyle w:val="2"/>
        <w:ind w:firstLine="480"/>
        <w:rPr>
          <w:color w:val="auto"/>
          <w:highlight w:val="none"/>
        </w:rPr>
      </w:pPr>
      <w:r>
        <w:rPr>
          <w:color w:val="auto"/>
          <w:highlight w:val="none"/>
        </w:rPr>
        <w:br w:type="page"/>
      </w:r>
    </w:p>
    <w:p>
      <w:pPr>
        <w:widowControl/>
        <w:jc w:val="center"/>
        <w:rPr>
          <w:b/>
          <w:color w:val="auto"/>
          <w:sz w:val="28"/>
          <w:szCs w:val="28"/>
          <w:highlight w:val="none"/>
        </w:rPr>
      </w:pPr>
      <w:r>
        <w:rPr>
          <w:b/>
          <w:color w:val="auto"/>
          <w:sz w:val="28"/>
          <w:szCs w:val="28"/>
          <w:highlight w:val="none"/>
        </w:rPr>
        <w:t>近年完成的类似项目情况表</w:t>
      </w:r>
    </w:p>
    <w:p>
      <w:pPr>
        <w:spacing w:line="200" w:lineRule="exact"/>
        <w:rPr>
          <w:rFonts w:eastAsia="Times New Roman"/>
          <w:color w:val="auto"/>
          <w:highlight w:val="none"/>
        </w:rPr>
      </w:pPr>
      <w:r>
        <w:rPr>
          <w:rFonts w:hint="eastAsia" w:ascii="宋体" w:hAnsi="宋体"/>
          <w:color w:val="auto"/>
          <w:highlight w:val="none"/>
        </w:rPr>
        <w:t xml:space="preserve">  </w:t>
      </w:r>
    </w:p>
    <w:tbl>
      <w:tblPr>
        <w:tblStyle w:val="27"/>
        <w:tblW w:w="85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0"/>
        <w:gridCol w:w="6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项目名称</w:t>
            </w:r>
          </w:p>
          <w:p>
            <w:pPr>
              <w:keepNext w:val="0"/>
              <w:keepLines w:val="0"/>
              <w:suppressLineNumbers w:val="0"/>
              <w:spacing w:before="0" w:beforeAutospacing="0" w:after="0" w:afterAutospacing="0" w:line="200" w:lineRule="exact"/>
              <w:ind w:left="0" w:right="0"/>
              <w:jc w:val="center"/>
              <w:rPr>
                <w:rFonts w:hint="default" w:ascii="宋体" w:hAnsi="宋体"/>
                <w:color w:val="auto"/>
                <w:sz w:val="24"/>
                <w:szCs w:val="24"/>
                <w:highlight w:val="none"/>
              </w:rPr>
            </w:pPr>
          </w:p>
        </w:tc>
        <w:tc>
          <w:tcPr>
            <w:tcW w:w="6162" w:type="dxa"/>
            <w:vAlign w:val="center"/>
          </w:tcPr>
          <w:p>
            <w:pPr>
              <w:pStyle w:val="13"/>
              <w:keepNext w:val="0"/>
              <w:keepLines w:val="0"/>
              <w:suppressLineNumbers w:val="0"/>
              <w:spacing w:before="0" w:beforeAutospacing="0" w:after="0" w:afterAutospacing="0"/>
              <w:ind w:left="0" w:right="0" w:firstLine="480"/>
              <w:jc w:val="center"/>
              <w:rPr>
                <w:rFonts w:hint="default"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项目所在地</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发包人名称</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发包人地址</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发包人电话</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合同价格</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勘察</w:t>
            </w:r>
            <w:r>
              <w:rPr>
                <w:rFonts w:hint="default" w:ascii="宋体" w:hAnsi="宋体"/>
                <w:color w:val="auto"/>
                <w:sz w:val="24"/>
                <w:szCs w:val="24"/>
                <w:highlight w:val="none"/>
              </w:rPr>
              <w:t>服务期限</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勘察</w:t>
            </w:r>
            <w:r>
              <w:rPr>
                <w:rFonts w:hint="default" w:ascii="宋体" w:hAnsi="宋体"/>
                <w:color w:val="auto"/>
                <w:sz w:val="24"/>
                <w:szCs w:val="24"/>
                <w:highlight w:val="none"/>
              </w:rPr>
              <w:t>内容</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项目负责人</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default" w:ascii="宋体" w:hAnsi="宋体"/>
                <w:color w:val="auto"/>
                <w:sz w:val="24"/>
                <w:szCs w:val="24"/>
                <w:highlight w:val="none"/>
              </w:rPr>
              <w:t>项目描述</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pStyle w:val="13"/>
              <w:keepNext w:val="0"/>
              <w:keepLines w:val="0"/>
              <w:suppressLineNumbers w:val="0"/>
              <w:spacing w:before="0" w:beforeAutospacing="0" w:after="0" w:afterAutospacing="0"/>
              <w:ind w:left="0" w:right="0" w:firstLine="480"/>
              <w:jc w:val="left"/>
              <w:rPr>
                <w:rFonts w:hint="default"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350"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r>
              <w:rPr>
                <w:rFonts w:hint="eastAsia" w:ascii="宋体" w:hAnsi="宋体"/>
                <w:color w:val="auto"/>
                <w:sz w:val="24"/>
                <w:szCs w:val="24"/>
                <w:highlight w:val="none"/>
              </w:rPr>
              <w:t>备注</w:t>
            </w:r>
          </w:p>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c>
          <w:tcPr>
            <w:tcW w:w="6162" w:type="dxa"/>
            <w:vAlign w:val="center"/>
          </w:tcPr>
          <w:p>
            <w:pPr>
              <w:keepNext w:val="0"/>
              <w:keepLines w:val="0"/>
              <w:suppressLineNumbers w:val="0"/>
              <w:spacing w:before="0" w:beforeAutospacing="0" w:after="0" w:afterAutospacing="0" w:line="240" w:lineRule="exact"/>
              <w:ind w:left="0" w:right="0"/>
              <w:jc w:val="center"/>
              <w:rPr>
                <w:rFonts w:hint="default" w:ascii="宋体" w:hAnsi="宋体"/>
                <w:color w:val="auto"/>
                <w:sz w:val="24"/>
                <w:szCs w:val="24"/>
                <w:highlight w:val="none"/>
              </w:rPr>
            </w:pPr>
          </w:p>
        </w:tc>
      </w:tr>
    </w:tbl>
    <w:p>
      <w:pPr>
        <w:spacing w:line="256" w:lineRule="exact"/>
        <w:rPr>
          <w:rFonts w:ascii="宋体" w:hAnsi="宋体"/>
          <w:color w:val="auto"/>
          <w:sz w:val="24"/>
          <w:szCs w:val="24"/>
          <w:highlight w:val="none"/>
        </w:rPr>
      </w:pPr>
    </w:p>
    <w:p>
      <w:pPr>
        <w:spacing w:line="256" w:lineRule="exact"/>
        <w:rPr>
          <w:rFonts w:ascii="宋体" w:hAnsi="宋体"/>
          <w:color w:val="auto"/>
          <w:sz w:val="24"/>
          <w:szCs w:val="24"/>
          <w:highlight w:val="none"/>
        </w:rPr>
      </w:pPr>
      <w:r>
        <w:rPr>
          <w:rFonts w:ascii="宋体" w:hAnsi="宋体"/>
          <w:color w:val="auto"/>
          <w:sz w:val="24"/>
          <w:szCs w:val="24"/>
          <w:highlight w:val="none"/>
        </w:rPr>
        <w:t>注：表后附合同关键页</w:t>
      </w:r>
      <w:r>
        <w:rPr>
          <w:rFonts w:hint="eastAsia" w:ascii="宋体" w:hAnsi="宋体"/>
          <w:color w:val="auto"/>
          <w:sz w:val="24"/>
          <w:szCs w:val="24"/>
          <w:highlight w:val="none"/>
        </w:rPr>
        <w:t>，</w:t>
      </w:r>
      <w:r>
        <w:rPr>
          <w:rFonts w:hint="eastAsia" w:ascii="宋体" w:hAnsi="宋体"/>
          <w:color w:val="auto"/>
          <w:kern w:val="0"/>
          <w:sz w:val="24"/>
          <w:szCs w:val="24"/>
          <w:highlight w:val="none"/>
        </w:rPr>
        <w:t>如合同中不能体现签订日期、建筑规模等内容，须提供加盖业主公章的证明材料</w:t>
      </w:r>
    </w:p>
    <w:p>
      <w:pPr>
        <w:widowControl/>
        <w:jc w:val="left"/>
        <w:rPr>
          <w:b/>
          <w:color w:val="auto"/>
          <w:sz w:val="32"/>
          <w:szCs w:val="32"/>
          <w:highlight w:val="none"/>
        </w:rPr>
      </w:pPr>
      <w:r>
        <w:rPr>
          <w:b/>
          <w:color w:val="auto"/>
          <w:sz w:val="32"/>
          <w:szCs w:val="32"/>
          <w:highlight w:val="none"/>
        </w:rPr>
        <w:br w:type="page"/>
      </w:r>
    </w:p>
    <w:p>
      <w:pPr>
        <w:widowControl/>
        <w:jc w:val="center"/>
        <w:rPr>
          <w:b/>
          <w:color w:val="auto"/>
          <w:sz w:val="28"/>
          <w:szCs w:val="28"/>
          <w:highlight w:val="none"/>
        </w:rPr>
      </w:pPr>
      <w:r>
        <w:rPr>
          <w:b/>
          <w:color w:val="auto"/>
          <w:sz w:val="28"/>
          <w:szCs w:val="28"/>
          <w:highlight w:val="none"/>
        </w:rPr>
        <w:t>技术部分</w:t>
      </w:r>
    </w:p>
    <w:p>
      <w:pPr>
        <w:widowControl/>
        <w:jc w:val="center"/>
        <w:rPr>
          <w:color w:val="auto"/>
          <w:sz w:val="24"/>
          <w:szCs w:val="24"/>
          <w:highlight w:val="none"/>
        </w:rPr>
      </w:pPr>
      <w:r>
        <w:rPr>
          <w:rFonts w:hint="eastAsia"/>
          <w:color w:val="auto"/>
          <w:sz w:val="24"/>
          <w:szCs w:val="24"/>
          <w:highlight w:val="none"/>
        </w:rPr>
        <w:t>（格式自拟）</w:t>
      </w:r>
      <w:r>
        <w:rPr>
          <w:color w:val="auto"/>
          <w:sz w:val="24"/>
          <w:szCs w:val="24"/>
          <w:highlight w:val="none"/>
        </w:rPr>
        <w:br w:type="page"/>
      </w:r>
    </w:p>
    <w:p>
      <w:pPr>
        <w:widowControl/>
        <w:jc w:val="center"/>
        <w:rPr>
          <w:b/>
          <w:color w:val="auto"/>
          <w:sz w:val="28"/>
          <w:szCs w:val="28"/>
          <w:highlight w:val="none"/>
        </w:rPr>
      </w:pPr>
      <w:r>
        <w:rPr>
          <w:b/>
          <w:color w:val="auto"/>
          <w:sz w:val="28"/>
          <w:szCs w:val="28"/>
          <w:highlight w:val="none"/>
        </w:rPr>
        <w:t>其他材料</w:t>
      </w:r>
      <w:r>
        <w:rPr>
          <w:rFonts w:hint="eastAsia"/>
          <w:b/>
          <w:color w:val="auto"/>
          <w:sz w:val="28"/>
          <w:szCs w:val="28"/>
          <w:highlight w:val="none"/>
        </w:rPr>
        <w:t>（如有）</w:t>
      </w:r>
    </w:p>
    <w:p>
      <w:pPr>
        <w:widowControl/>
        <w:jc w:val="left"/>
        <w:rPr>
          <w:b/>
          <w:color w:val="auto"/>
          <w:sz w:val="32"/>
          <w:szCs w:val="32"/>
          <w:highlight w:val="none"/>
        </w:rPr>
      </w:pPr>
    </w:p>
    <w:sectPr>
      <w:headerReference r:id="rId3" w:type="default"/>
      <w:footerReference r:id="rId4" w:type="default"/>
      <w:type w:val="continuous"/>
      <w:pgSz w:w="11906" w:h="16838"/>
      <w:pgMar w:top="1440" w:right="1800" w:bottom="1440" w:left="180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Style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both"/>
      <w:rPr>
        <w:rFonts w:cs="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32D41"/>
    <w:multiLevelType w:val="singleLevel"/>
    <w:tmpl w:val="AF132D4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HorizontalSpacing w:val="105"/>
  <w:drawingGridVerticalSpacing w:val="315"/>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wMmU2NTkxZDZlODIyN2YzNjIxNDE1MmFjNzQwNWIifQ=="/>
  </w:docVars>
  <w:rsids>
    <w:rsidRoot w:val="009824EB"/>
    <w:rsid w:val="00004130"/>
    <w:rsid w:val="00007762"/>
    <w:rsid w:val="000243DC"/>
    <w:rsid w:val="000277E7"/>
    <w:rsid w:val="00030328"/>
    <w:rsid w:val="000347FB"/>
    <w:rsid w:val="00036968"/>
    <w:rsid w:val="0003696D"/>
    <w:rsid w:val="00042E9A"/>
    <w:rsid w:val="00060988"/>
    <w:rsid w:val="0006285A"/>
    <w:rsid w:val="000666A9"/>
    <w:rsid w:val="000676DD"/>
    <w:rsid w:val="00075E32"/>
    <w:rsid w:val="00081668"/>
    <w:rsid w:val="00085E38"/>
    <w:rsid w:val="000872E1"/>
    <w:rsid w:val="00090BE2"/>
    <w:rsid w:val="000917C3"/>
    <w:rsid w:val="000921AE"/>
    <w:rsid w:val="000A24E7"/>
    <w:rsid w:val="000A5452"/>
    <w:rsid w:val="000A645C"/>
    <w:rsid w:val="000B05F7"/>
    <w:rsid w:val="000B22B7"/>
    <w:rsid w:val="000D1E93"/>
    <w:rsid w:val="000E1B93"/>
    <w:rsid w:val="000E6A2E"/>
    <w:rsid w:val="000F299A"/>
    <w:rsid w:val="00103D1E"/>
    <w:rsid w:val="001127D8"/>
    <w:rsid w:val="001236DB"/>
    <w:rsid w:val="00131A77"/>
    <w:rsid w:val="0013720A"/>
    <w:rsid w:val="0014076B"/>
    <w:rsid w:val="00152E45"/>
    <w:rsid w:val="00156064"/>
    <w:rsid w:val="00161975"/>
    <w:rsid w:val="0016313E"/>
    <w:rsid w:val="001734D3"/>
    <w:rsid w:val="00177207"/>
    <w:rsid w:val="0018010B"/>
    <w:rsid w:val="00185E0C"/>
    <w:rsid w:val="001908CB"/>
    <w:rsid w:val="001948BF"/>
    <w:rsid w:val="001A6179"/>
    <w:rsid w:val="001B1AAA"/>
    <w:rsid w:val="001B40C2"/>
    <w:rsid w:val="001B4DB5"/>
    <w:rsid w:val="001C2B13"/>
    <w:rsid w:val="001C3574"/>
    <w:rsid w:val="001C4CC6"/>
    <w:rsid w:val="001C52EF"/>
    <w:rsid w:val="001D5348"/>
    <w:rsid w:val="001F14E9"/>
    <w:rsid w:val="001F45D5"/>
    <w:rsid w:val="002033BD"/>
    <w:rsid w:val="0022032D"/>
    <w:rsid w:val="00227F76"/>
    <w:rsid w:val="002328BB"/>
    <w:rsid w:val="00234C9B"/>
    <w:rsid w:val="0023562F"/>
    <w:rsid w:val="00236BEA"/>
    <w:rsid w:val="0023753C"/>
    <w:rsid w:val="0024332F"/>
    <w:rsid w:val="002528F5"/>
    <w:rsid w:val="002530C9"/>
    <w:rsid w:val="00260ADF"/>
    <w:rsid w:val="00261A21"/>
    <w:rsid w:val="0026316D"/>
    <w:rsid w:val="00273CF4"/>
    <w:rsid w:val="00276E84"/>
    <w:rsid w:val="002774C7"/>
    <w:rsid w:val="002A4988"/>
    <w:rsid w:val="002A67AA"/>
    <w:rsid w:val="002B72BC"/>
    <w:rsid w:val="002C4625"/>
    <w:rsid w:val="002C611D"/>
    <w:rsid w:val="002C66DB"/>
    <w:rsid w:val="002D1B15"/>
    <w:rsid w:val="002D7E50"/>
    <w:rsid w:val="002E222C"/>
    <w:rsid w:val="002E55B6"/>
    <w:rsid w:val="002F107E"/>
    <w:rsid w:val="002F204E"/>
    <w:rsid w:val="002F6C2C"/>
    <w:rsid w:val="00303810"/>
    <w:rsid w:val="003065A6"/>
    <w:rsid w:val="00316EFA"/>
    <w:rsid w:val="003348E1"/>
    <w:rsid w:val="00335357"/>
    <w:rsid w:val="003370C2"/>
    <w:rsid w:val="003430CF"/>
    <w:rsid w:val="0035349B"/>
    <w:rsid w:val="00356FC5"/>
    <w:rsid w:val="00357057"/>
    <w:rsid w:val="003624DD"/>
    <w:rsid w:val="003627C4"/>
    <w:rsid w:val="00381CB5"/>
    <w:rsid w:val="003902C5"/>
    <w:rsid w:val="00391CFD"/>
    <w:rsid w:val="00394E47"/>
    <w:rsid w:val="0039772A"/>
    <w:rsid w:val="003A382A"/>
    <w:rsid w:val="003B0756"/>
    <w:rsid w:val="003B13BA"/>
    <w:rsid w:val="003B3AC9"/>
    <w:rsid w:val="003C1E7A"/>
    <w:rsid w:val="003C2AD1"/>
    <w:rsid w:val="003C559B"/>
    <w:rsid w:val="003E0758"/>
    <w:rsid w:val="003E1603"/>
    <w:rsid w:val="003E1605"/>
    <w:rsid w:val="003E5203"/>
    <w:rsid w:val="003F2654"/>
    <w:rsid w:val="0040159C"/>
    <w:rsid w:val="00413E46"/>
    <w:rsid w:val="004144BE"/>
    <w:rsid w:val="00416456"/>
    <w:rsid w:val="00416B16"/>
    <w:rsid w:val="00416D62"/>
    <w:rsid w:val="004322C1"/>
    <w:rsid w:val="00436A00"/>
    <w:rsid w:val="00443A69"/>
    <w:rsid w:val="0044411B"/>
    <w:rsid w:val="00445CFE"/>
    <w:rsid w:val="00446825"/>
    <w:rsid w:val="0045101E"/>
    <w:rsid w:val="004670EB"/>
    <w:rsid w:val="00470F5E"/>
    <w:rsid w:val="00471494"/>
    <w:rsid w:val="004726B5"/>
    <w:rsid w:val="00475F8F"/>
    <w:rsid w:val="00483902"/>
    <w:rsid w:val="0049045F"/>
    <w:rsid w:val="00493F8B"/>
    <w:rsid w:val="004A16EC"/>
    <w:rsid w:val="004A439B"/>
    <w:rsid w:val="004A4C4D"/>
    <w:rsid w:val="004B5A2E"/>
    <w:rsid w:val="004C5E5D"/>
    <w:rsid w:val="004D43F8"/>
    <w:rsid w:val="004D6CED"/>
    <w:rsid w:val="004E488B"/>
    <w:rsid w:val="004F0CD8"/>
    <w:rsid w:val="004F392F"/>
    <w:rsid w:val="00500FA0"/>
    <w:rsid w:val="00502988"/>
    <w:rsid w:val="005044C0"/>
    <w:rsid w:val="00513AA5"/>
    <w:rsid w:val="005162CC"/>
    <w:rsid w:val="0053474C"/>
    <w:rsid w:val="005362CE"/>
    <w:rsid w:val="00563894"/>
    <w:rsid w:val="00566B61"/>
    <w:rsid w:val="00570566"/>
    <w:rsid w:val="00571D31"/>
    <w:rsid w:val="00572CBF"/>
    <w:rsid w:val="00581993"/>
    <w:rsid w:val="00586477"/>
    <w:rsid w:val="0059350D"/>
    <w:rsid w:val="005A056D"/>
    <w:rsid w:val="005A2F30"/>
    <w:rsid w:val="005A69C7"/>
    <w:rsid w:val="005A7E04"/>
    <w:rsid w:val="005B04C6"/>
    <w:rsid w:val="005C105A"/>
    <w:rsid w:val="005E72DD"/>
    <w:rsid w:val="005F4BD2"/>
    <w:rsid w:val="005F6523"/>
    <w:rsid w:val="006129F6"/>
    <w:rsid w:val="0061610D"/>
    <w:rsid w:val="00627C2B"/>
    <w:rsid w:val="00641648"/>
    <w:rsid w:val="006431C5"/>
    <w:rsid w:val="00651347"/>
    <w:rsid w:val="00672708"/>
    <w:rsid w:val="006745A0"/>
    <w:rsid w:val="0067682E"/>
    <w:rsid w:val="00680446"/>
    <w:rsid w:val="0068351C"/>
    <w:rsid w:val="00683968"/>
    <w:rsid w:val="00696900"/>
    <w:rsid w:val="006A05FB"/>
    <w:rsid w:val="006A2E6E"/>
    <w:rsid w:val="006A4AF1"/>
    <w:rsid w:val="006B6353"/>
    <w:rsid w:val="006B724F"/>
    <w:rsid w:val="006C28F7"/>
    <w:rsid w:val="006D1C1B"/>
    <w:rsid w:val="006E00E3"/>
    <w:rsid w:val="006F27A1"/>
    <w:rsid w:val="006F33DB"/>
    <w:rsid w:val="006F4BC0"/>
    <w:rsid w:val="007125E5"/>
    <w:rsid w:val="00712886"/>
    <w:rsid w:val="00715195"/>
    <w:rsid w:val="00716796"/>
    <w:rsid w:val="00722F5E"/>
    <w:rsid w:val="00726C52"/>
    <w:rsid w:val="007420C0"/>
    <w:rsid w:val="007445B3"/>
    <w:rsid w:val="007467E9"/>
    <w:rsid w:val="007510C4"/>
    <w:rsid w:val="007561C3"/>
    <w:rsid w:val="00760FF6"/>
    <w:rsid w:val="00764B20"/>
    <w:rsid w:val="00774EB9"/>
    <w:rsid w:val="00775D58"/>
    <w:rsid w:val="0077600C"/>
    <w:rsid w:val="0078009E"/>
    <w:rsid w:val="00782339"/>
    <w:rsid w:val="007860AD"/>
    <w:rsid w:val="00797996"/>
    <w:rsid w:val="007A0FC2"/>
    <w:rsid w:val="007A5400"/>
    <w:rsid w:val="007A6EB8"/>
    <w:rsid w:val="007B2B68"/>
    <w:rsid w:val="007B40F2"/>
    <w:rsid w:val="007B74F0"/>
    <w:rsid w:val="007D0144"/>
    <w:rsid w:val="007D25C9"/>
    <w:rsid w:val="007D6518"/>
    <w:rsid w:val="007E1FF4"/>
    <w:rsid w:val="007E2280"/>
    <w:rsid w:val="007E47F2"/>
    <w:rsid w:val="007E6596"/>
    <w:rsid w:val="007E6C20"/>
    <w:rsid w:val="007F7498"/>
    <w:rsid w:val="008022FC"/>
    <w:rsid w:val="0080290F"/>
    <w:rsid w:val="00807978"/>
    <w:rsid w:val="00831D16"/>
    <w:rsid w:val="0083246F"/>
    <w:rsid w:val="00833ABE"/>
    <w:rsid w:val="00842AEA"/>
    <w:rsid w:val="00867C69"/>
    <w:rsid w:val="00877150"/>
    <w:rsid w:val="0088145A"/>
    <w:rsid w:val="00884822"/>
    <w:rsid w:val="00887567"/>
    <w:rsid w:val="00891245"/>
    <w:rsid w:val="00891CB7"/>
    <w:rsid w:val="00897BDD"/>
    <w:rsid w:val="008A6423"/>
    <w:rsid w:val="008B494C"/>
    <w:rsid w:val="008C4F69"/>
    <w:rsid w:val="008D1061"/>
    <w:rsid w:val="008D589B"/>
    <w:rsid w:val="008D71C3"/>
    <w:rsid w:val="008E0793"/>
    <w:rsid w:val="008E3AC1"/>
    <w:rsid w:val="008E42B7"/>
    <w:rsid w:val="008F0790"/>
    <w:rsid w:val="008F2F65"/>
    <w:rsid w:val="00922B01"/>
    <w:rsid w:val="0092359C"/>
    <w:rsid w:val="00927528"/>
    <w:rsid w:val="0094143A"/>
    <w:rsid w:val="00950FFD"/>
    <w:rsid w:val="00953542"/>
    <w:rsid w:val="00956BAC"/>
    <w:rsid w:val="00977A9F"/>
    <w:rsid w:val="009809D3"/>
    <w:rsid w:val="009815F6"/>
    <w:rsid w:val="009824EB"/>
    <w:rsid w:val="00995C5D"/>
    <w:rsid w:val="009B3038"/>
    <w:rsid w:val="009B3D25"/>
    <w:rsid w:val="009C1192"/>
    <w:rsid w:val="009D1B72"/>
    <w:rsid w:val="009E7300"/>
    <w:rsid w:val="009F6189"/>
    <w:rsid w:val="00A06C7B"/>
    <w:rsid w:val="00A07A4C"/>
    <w:rsid w:val="00A13185"/>
    <w:rsid w:val="00A13DCD"/>
    <w:rsid w:val="00A15D17"/>
    <w:rsid w:val="00A208ED"/>
    <w:rsid w:val="00A27ADC"/>
    <w:rsid w:val="00A30C65"/>
    <w:rsid w:val="00A3751E"/>
    <w:rsid w:val="00A378CE"/>
    <w:rsid w:val="00A432CA"/>
    <w:rsid w:val="00A53E94"/>
    <w:rsid w:val="00A563F3"/>
    <w:rsid w:val="00A569CF"/>
    <w:rsid w:val="00A61182"/>
    <w:rsid w:val="00A81633"/>
    <w:rsid w:val="00A93D4B"/>
    <w:rsid w:val="00A95C5F"/>
    <w:rsid w:val="00A9710C"/>
    <w:rsid w:val="00AA2036"/>
    <w:rsid w:val="00AB03BF"/>
    <w:rsid w:val="00AC6BBD"/>
    <w:rsid w:val="00AD1750"/>
    <w:rsid w:val="00AD1C95"/>
    <w:rsid w:val="00AD32A8"/>
    <w:rsid w:val="00AF6A48"/>
    <w:rsid w:val="00B012F1"/>
    <w:rsid w:val="00B17838"/>
    <w:rsid w:val="00B22510"/>
    <w:rsid w:val="00B328E0"/>
    <w:rsid w:val="00B36F90"/>
    <w:rsid w:val="00B4202D"/>
    <w:rsid w:val="00B45564"/>
    <w:rsid w:val="00B46CD9"/>
    <w:rsid w:val="00B50F70"/>
    <w:rsid w:val="00B53B9B"/>
    <w:rsid w:val="00B63A14"/>
    <w:rsid w:val="00B7516F"/>
    <w:rsid w:val="00B76174"/>
    <w:rsid w:val="00B93DEA"/>
    <w:rsid w:val="00B96A82"/>
    <w:rsid w:val="00BA01F6"/>
    <w:rsid w:val="00BA4210"/>
    <w:rsid w:val="00BA54E2"/>
    <w:rsid w:val="00BB4A63"/>
    <w:rsid w:val="00BC29C6"/>
    <w:rsid w:val="00BC34F7"/>
    <w:rsid w:val="00BC3EBD"/>
    <w:rsid w:val="00BD03DD"/>
    <w:rsid w:val="00BD257A"/>
    <w:rsid w:val="00BF1487"/>
    <w:rsid w:val="00BF2983"/>
    <w:rsid w:val="00BF7898"/>
    <w:rsid w:val="00C02C6B"/>
    <w:rsid w:val="00C11BB1"/>
    <w:rsid w:val="00C11D78"/>
    <w:rsid w:val="00C20928"/>
    <w:rsid w:val="00C31798"/>
    <w:rsid w:val="00C32B78"/>
    <w:rsid w:val="00C336EA"/>
    <w:rsid w:val="00C46C0A"/>
    <w:rsid w:val="00C50289"/>
    <w:rsid w:val="00C50658"/>
    <w:rsid w:val="00C553F2"/>
    <w:rsid w:val="00C75579"/>
    <w:rsid w:val="00C816FF"/>
    <w:rsid w:val="00C83B0A"/>
    <w:rsid w:val="00C87280"/>
    <w:rsid w:val="00C902D4"/>
    <w:rsid w:val="00C97BC4"/>
    <w:rsid w:val="00CA02E5"/>
    <w:rsid w:val="00CA0300"/>
    <w:rsid w:val="00CA789F"/>
    <w:rsid w:val="00CC392D"/>
    <w:rsid w:val="00CC6360"/>
    <w:rsid w:val="00CD0DD8"/>
    <w:rsid w:val="00CD1C9B"/>
    <w:rsid w:val="00CD206F"/>
    <w:rsid w:val="00CE0D08"/>
    <w:rsid w:val="00D065AD"/>
    <w:rsid w:val="00D22139"/>
    <w:rsid w:val="00D2547E"/>
    <w:rsid w:val="00D262FE"/>
    <w:rsid w:val="00D41B70"/>
    <w:rsid w:val="00D45575"/>
    <w:rsid w:val="00D46DBF"/>
    <w:rsid w:val="00D5794A"/>
    <w:rsid w:val="00D80F88"/>
    <w:rsid w:val="00D875AD"/>
    <w:rsid w:val="00D9390C"/>
    <w:rsid w:val="00DA2FE0"/>
    <w:rsid w:val="00DA3B5F"/>
    <w:rsid w:val="00DA5AB1"/>
    <w:rsid w:val="00DD2EFC"/>
    <w:rsid w:val="00DE02CE"/>
    <w:rsid w:val="00DE1ADC"/>
    <w:rsid w:val="00DE3824"/>
    <w:rsid w:val="00E00A50"/>
    <w:rsid w:val="00E0182C"/>
    <w:rsid w:val="00E01D40"/>
    <w:rsid w:val="00E06509"/>
    <w:rsid w:val="00E07135"/>
    <w:rsid w:val="00E134F3"/>
    <w:rsid w:val="00E2115D"/>
    <w:rsid w:val="00E23EC1"/>
    <w:rsid w:val="00E70CC5"/>
    <w:rsid w:val="00E75A6D"/>
    <w:rsid w:val="00E81E2A"/>
    <w:rsid w:val="00E81EAB"/>
    <w:rsid w:val="00E84E07"/>
    <w:rsid w:val="00E90C7E"/>
    <w:rsid w:val="00EB25E4"/>
    <w:rsid w:val="00EB4CCD"/>
    <w:rsid w:val="00EC128B"/>
    <w:rsid w:val="00EC4E2A"/>
    <w:rsid w:val="00EC71E2"/>
    <w:rsid w:val="00EC7341"/>
    <w:rsid w:val="00ED75A4"/>
    <w:rsid w:val="00ED75F0"/>
    <w:rsid w:val="00EE12E9"/>
    <w:rsid w:val="00EE3992"/>
    <w:rsid w:val="00EF5CB9"/>
    <w:rsid w:val="00F02E57"/>
    <w:rsid w:val="00F05339"/>
    <w:rsid w:val="00F05AD1"/>
    <w:rsid w:val="00F068E5"/>
    <w:rsid w:val="00F06E98"/>
    <w:rsid w:val="00F12078"/>
    <w:rsid w:val="00F152F6"/>
    <w:rsid w:val="00F23E0A"/>
    <w:rsid w:val="00F260AF"/>
    <w:rsid w:val="00F26404"/>
    <w:rsid w:val="00F278FA"/>
    <w:rsid w:val="00F27EEC"/>
    <w:rsid w:val="00F3196B"/>
    <w:rsid w:val="00F46005"/>
    <w:rsid w:val="00F46CAC"/>
    <w:rsid w:val="00F508C7"/>
    <w:rsid w:val="00F5244D"/>
    <w:rsid w:val="00F526BB"/>
    <w:rsid w:val="00F53122"/>
    <w:rsid w:val="00F54BC5"/>
    <w:rsid w:val="00F54C11"/>
    <w:rsid w:val="00F64F5C"/>
    <w:rsid w:val="00F6727D"/>
    <w:rsid w:val="00F71BCD"/>
    <w:rsid w:val="00F75D23"/>
    <w:rsid w:val="00F87894"/>
    <w:rsid w:val="00F945A5"/>
    <w:rsid w:val="00FA1E47"/>
    <w:rsid w:val="00FA340A"/>
    <w:rsid w:val="00FA428C"/>
    <w:rsid w:val="00FA76BA"/>
    <w:rsid w:val="00FC13E0"/>
    <w:rsid w:val="00FC578A"/>
    <w:rsid w:val="00FC6328"/>
    <w:rsid w:val="00FD27C1"/>
    <w:rsid w:val="00FF0580"/>
    <w:rsid w:val="011E35E5"/>
    <w:rsid w:val="018C7AD6"/>
    <w:rsid w:val="06415C04"/>
    <w:rsid w:val="06F106BF"/>
    <w:rsid w:val="07811712"/>
    <w:rsid w:val="07A37E0D"/>
    <w:rsid w:val="0C9E5822"/>
    <w:rsid w:val="10A17D8F"/>
    <w:rsid w:val="11B51D61"/>
    <w:rsid w:val="123B2DAE"/>
    <w:rsid w:val="18225062"/>
    <w:rsid w:val="19307E73"/>
    <w:rsid w:val="19892641"/>
    <w:rsid w:val="1A8940F3"/>
    <w:rsid w:val="1C741183"/>
    <w:rsid w:val="1E104D07"/>
    <w:rsid w:val="1F554D78"/>
    <w:rsid w:val="1F821652"/>
    <w:rsid w:val="1F9A2F53"/>
    <w:rsid w:val="2030489A"/>
    <w:rsid w:val="22817E8F"/>
    <w:rsid w:val="28603DCD"/>
    <w:rsid w:val="28DE3F9A"/>
    <w:rsid w:val="28E43F87"/>
    <w:rsid w:val="2D243BAB"/>
    <w:rsid w:val="2DDA37A2"/>
    <w:rsid w:val="31C0074A"/>
    <w:rsid w:val="33BB38AA"/>
    <w:rsid w:val="34EC34A5"/>
    <w:rsid w:val="38926603"/>
    <w:rsid w:val="39F70E15"/>
    <w:rsid w:val="3A9924BA"/>
    <w:rsid w:val="423073E6"/>
    <w:rsid w:val="426B4EC9"/>
    <w:rsid w:val="44561929"/>
    <w:rsid w:val="455D5AE3"/>
    <w:rsid w:val="48592E50"/>
    <w:rsid w:val="48AC091D"/>
    <w:rsid w:val="490B3AC9"/>
    <w:rsid w:val="49842BAC"/>
    <w:rsid w:val="4A4E3AEF"/>
    <w:rsid w:val="4AA56CF3"/>
    <w:rsid w:val="4B146EF8"/>
    <w:rsid w:val="4D2B6C9B"/>
    <w:rsid w:val="4ED63564"/>
    <w:rsid w:val="4FFE255F"/>
    <w:rsid w:val="505855EE"/>
    <w:rsid w:val="52957F38"/>
    <w:rsid w:val="56974981"/>
    <w:rsid w:val="5B1234AD"/>
    <w:rsid w:val="5CD562A6"/>
    <w:rsid w:val="5D7A5205"/>
    <w:rsid w:val="5E152CE6"/>
    <w:rsid w:val="5E7E671B"/>
    <w:rsid w:val="5F2705DD"/>
    <w:rsid w:val="6059527B"/>
    <w:rsid w:val="60BC16EE"/>
    <w:rsid w:val="610B2FCB"/>
    <w:rsid w:val="632559F6"/>
    <w:rsid w:val="63BB2530"/>
    <w:rsid w:val="63CC583E"/>
    <w:rsid w:val="64F10C16"/>
    <w:rsid w:val="676623EE"/>
    <w:rsid w:val="682200B5"/>
    <w:rsid w:val="6B7C4C37"/>
    <w:rsid w:val="6BEC7728"/>
    <w:rsid w:val="6D19395E"/>
    <w:rsid w:val="6DDF71D6"/>
    <w:rsid w:val="6FB53F1E"/>
    <w:rsid w:val="704233DE"/>
    <w:rsid w:val="70F25388"/>
    <w:rsid w:val="74847DE0"/>
    <w:rsid w:val="75725F31"/>
    <w:rsid w:val="79C51288"/>
    <w:rsid w:val="7AE121E1"/>
    <w:rsid w:val="7B4F06CB"/>
    <w:rsid w:val="7C3C6A63"/>
    <w:rsid w:val="7F29096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5">
    <w:name w:val="heading 1"/>
    <w:basedOn w:val="1"/>
    <w:next w:val="1"/>
    <w:link w:val="44"/>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6">
    <w:name w:val="heading 2"/>
    <w:basedOn w:val="1"/>
    <w:next w:val="1"/>
    <w:link w:val="45"/>
    <w:qFormat/>
    <w:uiPriority w:val="99"/>
    <w:pPr>
      <w:keepNext/>
      <w:keepLines/>
      <w:spacing w:before="260" w:after="260" w:line="416" w:lineRule="auto"/>
      <w:outlineLvl w:val="1"/>
    </w:pPr>
    <w:rPr>
      <w:rFonts w:ascii="Arial" w:hAnsi="Arial" w:eastAsia="黑体" w:cs="Arial"/>
      <w:b/>
      <w:bCs/>
      <w:sz w:val="32"/>
      <w:szCs w:val="32"/>
    </w:rPr>
  </w:style>
  <w:style w:type="paragraph" w:styleId="7">
    <w:name w:val="heading 3"/>
    <w:basedOn w:val="1"/>
    <w:next w:val="1"/>
    <w:link w:val="46"/>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4"/>
    <w:qFormat/>
    <w:locked/>
    <w:uiPriority w:val="99"/>
    <w:pPr>
      <w:ind w:firstLine="420"/>
    </w:pPr>
  </w:style>
  <w:style w:type="paragraph" w:styleId="3">
    <w:name w:val="Body Text Indent"/>
    <w:basedOn w:val="1"/>
    <w:next w:val="1"/>
    <w:link w:val="54"/>
    <w:qFormat/>
    <w:uiPriority w:val="99"/>
    <w:pPr>
      <w:spacing w:line="300" w:lineRule="auto"/>
      <w:ind w:firstLine="480" w:firstLineChars="200"/>
    </w:pPr>
    <w:rPr>
      <w:rFonts w:ascii="仿宋_GB2312" w:hAnsi="Times New Roman" w:eastAsia="仿宋_GB2312" w:cs="仿宋_GB2312"/>
      <w:sz w:val="24"/>
      <w:szCs w:val="24"/>
    </w:rPr>
  </w:style>
  <w:style w:type="paragraph" w:customStyle="1" w:styleId="4">
    <w:name w:val="xl5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paragraph" w:styleId="8">
    <w:name w:val="Document Map"/>
    <w:basedOn w:val="1"/>
    <w:link w:val="52"/>
    <w:semiHidden/>
    <w:qFormat/>
    <w:uiPriority w:val="99"/>
    <w:pPr>
      <w:shd w:val="clear" w:color="auto" w:fill="000080"/>
    </w:pPr>
    <w:rPr>
      <w:rFonts w:ascii="Times New Roman" w:hAnsi="Times New Roman" w:cs="Times New Roman"/>
    </w:rPr>
  </w:style>
  <w:style w:type="paragraph" w:styleId="9">
    <w:name w:val="annotation text"/>
    <w:basedOn w:val="1"/>
    <w:link w:val="47"/>
    <w:semiHidden/>
    <w:qFormat/>
    <w:uiPriority w:val="99"/>
    <w:pPr>
      <w:jc w:val="left"/>
    </w:pPr>
    <w:rPr>
      <w:kern w:val="0"/>
      <w:sz w:val="20"/>
      <w:szCs w:val="20"/>
    </w:rPr>
  </w:style>
  <w:style w:type="paragraph" w:styleId="10">
    <w:name w:val="Body Text 3"/>
    <w:basedOn w:val="1"/>
    <w:link w:val="53"/>
    <w:qFormat/>
    <w:uiPriority w:val="99"/>
    <w:pPr>
      <w:spacing w:after="120"/>
    </w:pPr>
    <w:rPr>
      <w:rFonts w:ascii="Times New Roman" w:hAnsi="Times New Roman" w:cs="Times New Roman"/>
      <w:sz w:val="16"/>
      <w:szCs w:val="16"/>
    </w:rPr>
  </w:style>
  <w:style w:type="paragraph" w:styleId="11">
    <w:name w:val="Body Text"/>
    <w:basedOn w:val="1"/>
    <w:link w:val="50"/>
    <w:qFormat/>
    <w:uiPriority w:val="99"/>
    <w:pPr>
      <w:spacing w:line="300" w:lineRule="auto"/>
      <w:jc w:val="center"/>
    </w:pPr>
    <w:rPr>
      <w:rFonts w:ascii="Times New Roman" w:hAnsi="Times New Roman" w:cs="Times New Roman"/>
      <w:b/>
      <w:bCs/>
      <w:sz w:val="44"/>
      <w:szCs w:val="44"/>
    </w:rPr>
  </w:style>
  <w:style w:type="paragraph" w:styleId="12">
    <w:name w:val="toc 3"/>
    <w:basedOn w:val="1"/>
    <w:next w:val="1"/>
    <w:semiHidden/>
    <w:qFormat/>
    <w:uiPriority w:val="99"/>
    <w:pPr>
      <w:ind w:left="840" w:leftChars="400"/>
    </w:pPr>
    <w:rPr>
      <w:rFonts w:ascii="Times New Roman" w:hAnsi="Times New Roman" w:cs="Times New Roman"/>
    </w:rPr>
  </w:style>
  <w:style w:type="paragraph" w:styleId="13">
    <w:name w:val="Plain Text"/>
    <w:basedOn w:val="1"/>
    <w:link w:val="55"/>
    <w:qFormat/>
    <w:uiPriority w:val="0"/>
    <w:rPr>
      <w:rFonts w:ascii="宋体" w:hAnsi="Courier New" w:cs="宋体"/>
      <w:kern w:val="0"/>
      <w:sz w:val="20"/>
      <w:szCs w:val="20"/>
    </w:rPr>
  </w:style>
  <w:style w:type="paragraph" w:styleId="14">
    <w:name w:val="Date"/>
    <w:basedOn w:val="1"/>
    <w:next w:val="1"/>
    <w:link w:val="56"/>
    <w:qFormat/>
    <w:uiPriority w:val="99"/>
    <w:pPr>
      <w:widowControl/>
      <w:ind w:left="100" w:leftChars="2500"/>
      <w:jc w:val="left"/>
    </w:pPr>
    <w:rPr>
      <w:rFonts w:ascii="黑体" w:hAnsi="宋体" w:eastAsia="黑体" w:cs="黑体"/>
      <w:b/>
      <w:bCs/>
      <w:color w:val="000000"/>
      <w:kern w:val="0"/>
      <w:sz w:val="44"/>
      <w:szCs w:val="44"/>
    </w:rPr>
  </w:style>
  <w:style w:type="paragraph" w:styleId="15">
    <w:name w:val="Body Text Indent 2"/>
    <w:basedOn w:val="1"/>
    <w:link w:val="57"/>
    <w:qFormat/>
    <w:uiPriority w:val="99"/>
    <w:pPr>
      <w:spacing w:after="120" w:line="480" w:lineRule="auto"/>
      <w:ind w:left="420" w:leftChars="200"/>
    </w:pPr>
    <w:rPr>
      <w:rFonts w:ascii="Times New Roman" w:hAnsi="Times New Roman" w:cs="Times New Roman"/>
    </w:rPr>
  </w:style>
  <w:style w:type="paragraph" w:styleId="16">
    <w:name w:val="Balloon Text"/>
    <w:basedOn w:val="1"/>
    <w:link w:val="58"/>
    <w:semiHidden/>
    <w:qFormat/>
    <w:uiPriority w:val="99"/>
    <w:rPr>
      <w:rFonts w:ascii="Times New Roman" w:hAnsi="Times New Roman" w:cs="Times New Roman"/>
      <w:sz w:val="18"/>
      <w:szCs w:val="18"/>
    </w:rPr>
  </w:style>
  <w:style w:type="paragraph" w:styleId="17">
    <w:name w:val="footer"/>
    <w:basedOn w:val="1"/>
    <w:link w:val="59"/>
    <w:qFormat/>
    <w:uiPriority w:val="99"/>
    <w:pPr>
      <w:tabs>
        <w:tab w:val="center" w:pos="4153"/>
        <w:tab w:val="right" w:pos="8306"/>
      </w:tabs>
      <w:snapToGrid w:val="0"/>
      <w:jc w:val="left"/>
    </w:pPr>
    <w:rPr>
      <w:sz w:val="18"/>
      <w:szCs w:val="18"/>
    </w:rPr>
  </w:style>
  <w:style w:type="paragraph" w:styleId="18">
    <w:name w:val="envelope return"/>
    <w:basedOn w:val="1"/>
    <w:qFormat/>
    <w:locked/>
    <w:uiPriority w:val="99"/>
    <w:pPr>
      <w:snapToGrid w:val="0"/>
    </w:pPr>
    <w:rPr>
      <w:rFonts w:ascii="Arial" w:hAnsi="Arial"/>
    </w:rPr>
  </w:style>
  <w:style w:type="paragraph" w:styleId="19">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qFormat/>
    <w:uiPriority w:val="99"/>
    <w:rPr>
      <w:rFonts w:ascii="Times New Roman" w:hAnsi="Times New Roman" w:cs="Times New Roman"/>
    </w:rPr>
  </w:style>
  <w:style w:type="paragraph" w:styleId="21">
    <w:name w:val="Subtitle"/>
    <w:basedOn w:val="1"/>
    <w:next w:val="1"/>
    <w:link w:val="61"/>
    <w:qFormat/>
    <w:uiPriority w:val="99"/>
    <w:pPr>
      <w:spacing w:before="240" w:after="60" w:line="312" w:lineRule="auto"/>
      <w:jc w:val="center"/>
      <w:outlineLvl w:val="1"/>
    </w:pPr>
    <w:rPr>
      <w:rFonts w:ascii="Cambria" w:hAnsi="Cambria" w:cs="Cambria"/>
      <w:b/>
      <w:bCs/>
      <w:kern w:val="28"/>
      <w:sz w:val="32"/>
      <w:szCs w:val="32"/>
    </w:rPr>
  </w:style>
  <w:style w:type="paragraph" w:styleId="22">
    <w:name w:val="toc 2"/>
    <w:basedOn w:val="1"/>
    <w:next w:val="1"/>
    <w:semiHidden/>
    <w:qFormat/>
    <w:uiPriority w:val="99"/>
    <w:pPr>
      <w:ind w:left="420" w:leftChars="200"/>
    </w:pPr>
    <w:rPr>
      <w:rFonts w:ascii="Times New Roman" w:hAnsi="Times New Roman" w:cs="Times New Roman"/>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4">
    <w:name w:val="Title"/>
    <w:basedOn w:val="1"/>
    <w:next w:val="1"/>
    <w:link w:val="84"/>
    <w:qFormat/>
    <w:uiPriority w:val="99"/>
    <w:pPr>
      <w:spacing w:before="240" w:after="60"/>
      <w:jc w:val="center"/>
      <w:outlineLvl w:val="0"/>
    </w:pPr>
    <w:rPr>
      <w:rFonts w:ascii="Cambria" w:hAnsi="Cambria" w:cs="Cambria"/>
      <w:b/>
      <w:bCs/>
      <w:kern w:val="0"/>
      <w:sz w:val="32"/>
      <w:szCs w:val="32"/>
    </w:rPr>
  </w:style>
  <w:style w:type="paragraph" w:styleId="25">
    <w:name w:val="annotation subject"/>
    <w:basedOn w:val="9"/>
    <w:next w:val="9"/>
    <w:link w:val="48"/>
    <w:semiHidden/>
    <w:qFormat/>
    <w:uiPriority w:val="99"/>
    <w:rPr>
      <w:b/>
      <w:bCs/>
    </w:rPr>
  </w:style>
  <w:style w:type="paragraph" w:styleId="26">
    <w:name w:val="Body Text First Indent"/>
    <w:basedOn w:val="11"/>
    <w:link w:val="51"/>
    <w:qFormat/>
    <w:uiPriority w:val="99"/>
    <w:pPr>
      <w:spacing w:after="120" w:line="240" w:lineRule="auto"/>
      <w:ind w:firstLine="420" w:firstLineChars="100"/>
      <w:jc w:val="both"/>
    </w:pPr>
    <w:rPr>
      <w:b w:val="0"/>
      <w:bCs w:val="0"/>
      <w:sz w:val="21"/>
      <w:szCs w:val="21"/>
    </w:rPr>
  </w:style>
  <w:style w:type="table" w:styleId="28">
    <w:name w:val="Table Grid"/>
    <w:basedOn w:val="2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99"/>
    <w:rPr>
      <w:rFonts w:cs="Times New Roman"/>
      <w:b/>
      <w:bCs/>
    </w:rPr>
  </w:style>
  <w:style w:type="character" w:styleId="31">
    <w:name w:val="page number"/>
    <w:basedOn w:val="29"/>
    <w:qFormat/>
    <w:uiPriority w:val="99"/>
    <w:rPr>
      <w:rFonts w:cs="Times New Roman"/>
    </w:rPr>
  </w:style>
  <w:style w:type="character" w:styleId="32">
    <w:name w:val="FollowedHyperlink"/>
    <w:basedOn w:val="29"/>
    <w:qFormat/>
    <w:uiPriority w:val="99"/>
    <w:rPr>
      <w:rFonts w:cs="Times New Roman"/>
      <w:color w:val="800080"/>
      <w:u w:val="none"/>
    </w:rPr>
  </w:style>
  <w:style w:type="character" w:styleId="33">
    <w:name w:val="Emphasis"/>
    <w:basedOn w:val="29"/>
    <w:qFormat/>
    <w:uiPriority w:val="99"/>
    <w:rPr>
      <w:rFonts w:cs="Times New Roman"/>
      <w:b/>
      <w:bCs/>
    </w:rPr>
  </w:style>
  <w:style w:type="character" w:styleId="34">
    <w:name w:val="HTML Definition"/>
    <w:basedOn w:val="29"/>
    <w:qFormat/>
    <w:uiPriority w:val="99"/>
    <w:rPr>
      <w:rFonts w:cs="Times New Roman"/>
    </w:rPr>
  </w:style>
  <w:style w:type="character" w:styleId="35">
    <w:name w:val="HTML Typewriter"/>
    <w:basedOn w:val="29"/>
    <w:qFormat/>
    <w:uiPriority w:val="99"/>
    <w:rPr>
      <w:rFonts w:ascii="monospace" w:hAnsi="monospace" w:cs="monospace"/>
      <w:sz w:val="20"/>
      <w:szCs w:val="20"/>
    </w:rPr>
  </w:style>
  <w:style w:type="character" w:styleId="36">
    <w:name w:val="HTML Acronym"/>
    <w:basedOn w:val="29"/>
    <w:qFormat/>
    <w:uiPriority w:val="99"/>
    <w:rPr>
      <w:rFonts w:cs="Times New Roman"/>
    </w:rPr>
  </w:style>
  <w:style w:type="character" w:styleId="37">
    <w:name w:val="HTML Variable"/>
    <w:basedOn w:val="29"/>
    <w:qFormat/>
    <w:uiPriority w:val="99"/>
    <w:rPr>
      <w:rFonts w:cs="Times New Roman"/>
    </w:rPr>
  </w:style>
  <w:style w:type="character" w:styleId="38">
    <w:name w:val="Hyperlink"/>
    <w:basedOn w:val="29"/>
    <w:qFormat/>
    <w:uiPriority w:val="99"/>
    <w:rPr>
      <w:rFonts w:cs="Times New Roman"/>
      <w:color w:val="0000FF"/>
      <w:u w:val="none"/>
    </w:rPr>
  </w:style>
  <w:style w:type="character" w:styleId="39">
    <w:name w:val="HTML Code"/>
    <w:basedOn w:val="29"/>
    <w:qFormat/>
    <w:uiPriority w:val="99"/>
    <w:rPr>
      <w:rFonts w:ascii="monospace" w:hAnsi="monospace" w:cs="monospace"/>
      <w:sz w:val="20"/>
      <w:szCs w:val="20"/>
    </w:rPr>
  </w:style>
  <w:style w:type="character" w:styleId="40">
    <w:name w:val="annotation reference"/>
    <w:basedOn w:val="29"/>
    <w:semiHidden/>
    <w:qFormat/>
    <w:uiPriority w:val="99"/>
    <w:rPr>
      <w:rFonts w:cs="Times New Roman"/>
      <w:sz w:val="21"/>
      <w:szCs w:val="21"/>
    </w:rPr>
  </w:style>
  <w:style w:type="character" w:styleId="41">
    <w:name w:val="HTML Cite"/>
    <w:basedOn w:val="29"/>
    <w:qFormat/>
    <w:uiPriority w:val="99"/>
    <w:rPr>
      <w:rFonts w:cs="Times New Roman"/>
    </w:rPr>
  </w:style>
  <w:style w:type="character" w:styleId="42">
    <w:name w:val="HTML Keyboard"/>
    <w:basedOn w:val="29"/>
    <w:qFormat/>
    <w:uiPriority w:val="99"/>
    <w:rPr>
      <w:rFonts w:ascii="monospace" w:hAnsi="monospace" w:cs="monospace"/>
      <w:sz w:val="20"/>
      <w:szCs w:val="20"/>
    </w:rPr>
  </w:style>
  <w:style w:type="character" w:styleId="43">
    <w:name w:val="HTML Sample"/>
    <w:basedOn w:val="29"/>
    <w:qFormat/>
    <w:uiPriority w:val="99"/>
    <w:rPr>
      <w:rFonts w:ascii="monospace" w:hAnsi="monospace" w:cs="monospace"/>
    </w:rPr>
  </w:style>
  <w:style w:type="character" w:customStyle="1" w:styleId="44">
    <w:name w:val="标题 1 字符"/>
    <w:basedOn w:val="29"/>
    <w:link w:val="5"/>
    <w:qFormat/>
    <w:locked/>
    <w:uiPriority w:val="99"/>
    <w:rPr>
      <w:rFonts w:ascii="Times New Roman" w:hAnsi="Times New Roman" w:eastAsia="宋体" w:cs="Times New Roman"/>
      <w:b/>
      <w:bCs/>
      <w:kern w:val="44"/>
      <w:sz w:val="44"/>
      <w:szCs w:val="44"/>
    </w:rPr>
  </w:style>
  <w:style w:type="character" w:customStyle="1" w:styleId="45">
    <w:name w:val="标题 2 字符"/>
    <w:basedOn w:val="29"/>
    <w:link w:val="6"/>
    <w:qFormat/>
    <w:locked/>
    <w:uiPriority w:val="99"/>
    <w:rPr>
      <w:rFonts w:ascii="Arial" w:hAnsi="Arial" w:eastAsia="黑体" w:cs="Arial"/>
      <w:b/>
      <w:bCs/>
      <w:sz w:val="32"/>
      <w:szCs w:val="32"/>
    </w:rPr>
  </w:style>
  <w:style w:type="character" w:customStyle="1" w:styleId="46">
    <w:name w:val="标题 3 字符"/>
    <w:basedOn w:val="29"/>
    <w:link w:val="7"/>
    <w:qFormat/>
    <w:locked/>
    <w:uiPriority w:val="99"/>
    <w:rPr>
      <w:rFonts w:ascii="Times New Roman" w:hAnsi="Times New Roman" w:eastAsia="宋体" w:cs="Times New Roman"/>
      <w:b/>
      <w:bCs/>
      <w:sz w:val="32"/>
      <w:szCs w:val="32"/>
    </w:rPr>
  </w:style>
  <w:style w:type="character" w:customStyle="1" w:styleId="47">
    <w:name w:val="批注文字 字符"/>
    <w:basedOn w:val="29"/>
    <w:link w:val="9"/>
    <w:semiHidden/>
    <w:qFormat/>
    <w:locked/>
    <w:uiPriority w:val="99"/>
    <w:rPr>
      <w:rFonts w:cs="Times New Roman"/>
      <w:sz w:val="21"/>
      <w:szCs w:val="21"/>
    </w:rPr>
  </w:style>
  <w:style w:type="character" w:customStyle="1" w:styleId="48">
    <w:name w:val="批注主题 字符"/>
    <w:basedOn w:val="49"/>
    <w:link w:val="25"/>
    <w:semiHidden/>
    <w:qFormat/>
    <w:locked/>
    <w:uiPriority w:val="99"/>
    <w:rPr>
      <w:rFonts w:cs="Times New Roman"/>
      <w:b/>
      <w:bCs/>
      <w:sz w:val="24"/>
      <w:szCs w:val="24"/>
    </w:rPr>
  </w:style>
  <w:style w:type="character" w:customStyle="1" w:styleId="49">
    <w:name w:val="批注文字 Char1"/>
    <w:basedOn w:val="29"/>
    <w:semiHidden/>
    <w:qFormat/>
    <w:uiPriority w:val="99"/>
    <w:rPr>
      <w:rFonts w:cs="Times New Roman"/>
    </w:rPr>
  </w:style>
  <w:style w:type="character" w:customStyle="1" w:styleId="50">
    <w:name w:val="正文文本 字符"/>
    <w:basedOn w:val="29"/>
    <w:link w:val="11"/>
    <w:qFormat/>
    <w:locked/>
    <w:uiPriority w:val="99"/>
    <w:rPr>
      <w:rFonts w:ascii="Times New Roman" w:hAnsi="Times New Roman" w:eastAsia="宋体" w:cs="Times New Roman"/>
      <w:b/>
      <w:bCs/>
      <w:sz w:val="24"/>
      <w:szCs w:val="24"/>
    </w:rPr>
  </w:style>
  <w:style w:type="character" w:customStyle="1" w:styleId="51">
    <w:name w:val="正文文本首行缩进 字符"/>
    <w:basedOn w:val="50"/>
    <w:link w:val="26"/>
    <w:qFormat/>
    <w:locked/>
    <w:uiPriority w:val="99"/>
    <w:rPr>
      <w:rFonts w:ascii="Times New Roman" w:hAnsi="Times New Roman" w:eastAsia="宋体" w:cs="Times New Roman"/>
      <w:sz w:val="24"/>
      <w:szCs w:val="24"/>
    </w:rPr>
  </w:style>
  <w:style w:type="character" w:customStyle="1" w:styleId="52">
    <w:name w:val="文档结构图 字符"/>
    <w:basedOn w:val="29"/>
    <w:link w:val="8"/>
    <w:semiHidden/>
    <w:qFormat/>
    <w:locked/>
    <w:uiPriority w:val="99"/>
    <w:rPr>
      <w:rFonts w:ascii="Times New Roman" w:hAnsi="Times New Roman" w:eastAsia="宋体" w:cs="Times New Roman"/>
      <w:sz w:val="24"/>
      <w:szCs w:val="24"/>
      <w:shd w:val="clear" w:color="auto" w:fill="000080"/>
    </w:rPr>
  </w:style>
  <w:style w:type="character" w:customStyle="1" w:styleId="53">
    <w:name w:val="正文文本 3 字符"/>
    <w:basedOn w:val="29"/>
    <w:link w:val="10"/>
    <w:qFormat/>
    <w:locked/>
    <w:uiPriority w:val="99"/>
    <w:rPr>
      <w:rFonts w:ascii="Times New Roman" w:hAnsi="Times New Roman" w:eastAsia="宋体" w:cs="Times New Roman"/>
      <w:sz w:val="16"/>
      <w:szCs w:val="16"/>
    </w:rPr>
  </w:style>
  <w:style w:type="character" w:customStyle="1" w:styleId="54">
    <w:name w:val="正文文本缩进 字符"/>
    <w:basedOn w:val="29"/>
    <w:link w:val="3"/>
    <w:qFormat/>
    <w:locked/>
    <w:uiPriority w:val="99"/>
    <w:rPr>
      <w:rFonts w:ascii="仿宋_GB2312" w:hAnsi="Times New Roman" w:eastAsia="仿宋_GB2312" w:cs="仿宋_GB2312"/>
      <w:sz w:val="21"/>
      <w:szCs w:val="21"/>
    </w:rPr>
  </w:style>
  <w:style w:type="character" w:customStyle="1" w:styleId="55">
    <w:name w:val="纯文本 字符"/>
    <w:basedOn w:val="29"/>
    <w:link w:val="13"/>
    <w:qFormat/>
    <w:locked/>
    <w:uiPriority w:val="0"/>
    <w:rPr>
      <w:rFonts w:ascii="宋体" w:hAnsi="Courier New" w:cs="宋体"/>
    </w:rPr>
  </w:style>
  <w:style w:type="character" w:customStyle="1" w:styleId="56">
    <w:name w:val="日期 字符"/>
    <w:basedOn w:val="29"/>
    <w:link w:val="14"/>
    <w:qFormat/>
    <w:locked/>
    <w:uiPriority w:val="99"/>
    <w:rPr>
      <w:rFonts w:ascii="黑体" w:hAnsi="宋体" w:eastAsia="黑体" w:cs="黑体"/>
      <w:b/>
      <w:bCs/>
      <w:color w:val="000000"/>
      <w:kern w:val="0"/>
      <w:sz w:val="36"/>
      <w:szCs w:val="36"/>
    </w:rPr>
  </w:style>
  <w:style w:type="character" w:customStyle="1" w:styleId="57">
    <w:name w:val="正文文本缩进 2 字符"/>
    <w:basedOn w:val="29"/>
    <w:link w:val="15"/>
    <w:qFormat/>
    <w:locked/>
    <w:uiPriority w:val="99"/>
    <w:rPr>
      <w:rFonts w:ascii="Times New Roman" w:hAnsi="Times New Roman" w:eastAsia="宋体" w:cs="Times New Roman"/>
      <w:sz w:val="24"/>
      <w:szCs w:val="24"/>
    </w:rPr>
  </w:style>
  <w:style w:type="character" w:customStyle="1" w:styleId="58">
    <w:name w:val="批注框文本 字符"/>
    <w:basedOn w:val="29"/>
    <w:link w:val="16"/>
    <w:semiHidden/>
    <w:qFormat/>
    <w:locked/>
    <w:uiPriority w:val="99"/>
    <w:rPr>
      <w:rFonts w:ascii="Times New Roman" w:hAnsi="Times New Roman" w:eastAsia="宋体" w:cs="Times New Roman"/>
      <w:sz w:val="18"/>
      <w:szCs w:val="18"/>
    </w:rPr>
  </w:style>
  <w:style w:type="character" w:customStyle="1" w:styleId="59">
    <w:name w:val="页脚 字符"/>
    <w:basedOn w:val="29"/>
    <w:link w:val="17"/>
    <w:qFormat/>
    <w:locked/>
    <w:uiPriority w:val="99"/>
    <w:rPr>
      <w:rFonts w:cs="Times New Roman"/>
      <w:sz w:val="18"/>
      <w:szCs w:val="18"/>
    </w:rPr>
  </w:style>
  <w:style w:type="character" w:customStyle="1" w:styleId="60">
    <w:name w:val="页眉 字符"/>
    <w:basedOn w:val="29"/>
    <w:link w:val="19"/>
    <w:qFormat/>
    <w:locked/>
    <w:uiPriority w:val="99"/>
    <w:rPr>
      <w:rFonts w:cs="Times New Roman"/>
      <w:sz w:val="18"/>
      <w:szCs w:val="18"/>
    </w:rPr>
  </w:style>
  <w:style w:type="character" w:customStyle="1" w:styleId="61">
    <w:name w:val="副标题 字符"/>
    <w:basedOn w:val="29"/>
    <w:link w:val="21"/>
    <w:qFormat/>
    <w:locked/>
    <w:uiPriority w:val="99"/>
    <w:rPr>
      <w:rFonts w:ascii="Cambria" w:hAnsi="Cambria" w:cs="Cambria"/>
      <w:b/>
      <w:bCs/>
      <w:kern w:val="28"/>
      <w:sz w:val="32"/>
      <w:szCs w:val="32"/>
    </w:rPr>
  </w:style>
  <w:style w:type="character" w:customStyle="1" w:styleId="62">
    <w:name w:val="标题 Char"/>
    <w:basedOn w:val="29"/>
    <w:qFormat/>
    <w:locked/>
    <w:uiPriority w:val="99"/>
    <w:rPr>
      <w:rFonts w:ascii="Cambria" w:hAnsi="Cambria" w:cs="Cambria"/>
      <w:b/>
      <w:bCs/>
      <w:sz w:val="32"/>
      <w:szCs w:val="32"/>
    </w:rPr>
  </w:style>
  <w:style w:type="character" w:customStyle="1" w:styleId="63">
    <w:name w:val="无间隔 Char"/>
    <w:link w:val="64"/>
    <w:qFormat/>
    <w:locked/>
    <w:uiPriority w:val="99"/>
    <w:rPr>
      <w:kern w:val="2"/>
      <w:sz w:val="22"/>
      <w:lang w:val="en-US" w:eastAsia="zh-CN"/>
    </w:rPr>
  </w:style>
  <w:style w:type="paragraph" w:customStyle="1" w:styleId="64">
    <w:name w:val="无间隔1"/>
    <w:link w:val="63"/>
    <w:qFormat/>
    <w:uiPriority w:val="99"/>
    <w:pPr>
      <w:widowControl w:val="0"/>
      <w:jc w:val="both"/>
    </w:pPr>
    <w:rPr>
      <w:rFonts w:ascii="Calibri" w:hAnsi="Calibri" w:eastAsia="宋体" w:cs="Calibri"/>
      <w:kern w:val="2"/>
      <w:sz w:val="22"/>
      <w:szCs w:val="22"/>
      <w:lang w:val="en-US" w:eastAsia="zh-CN" w:bidi="ar-SA"/>
    </w:rPr>
  </w:style>
  <w:style w:type="character" w:customStyle="1" w:styleId="65">
    <w:name w:val="样式2 Char Char"/>
    <w:link w:val="66"/>
    <w:qFormat/>
    <w:locked/>
    <w:uiPriority w:val="99"/>
    <w:rPr>
      <w:rFonts w:ascii="仿宋_GB2312" w:hAnsi="宋体" w:eastAsia="仿宋_GB2312"/>
      <w:b/>
      <w:sz w:val="32"/>
    </w:rPr>
  </w:style>
  <w:style w:type="paragraph" w:customStyle="1" w:styleId="66">
    <w:name w:val="样式2"/>
    <w:basedOn w:val="1"/>
    <w:link w:val="65"/>
    <w:qFormat/>
    <w:uiPriority w:val="99"/>
    <w:pPr>
      <w:spacing w:line="600" w:lineRule="exact"/>
    </w:pPr>
    <w:rPr>
      <w:rFonts w:ascii="仿宋_GB2312" w:hAnsi="宋体" w:eastAsia="仿宋_GB2312" w:cs="Times New Roman"/>
      <w:b/>
      <w:kern w:val="0"/>
      <w:sz w:val="32"/>
      <w:szCs w:val="20"/>
    </w:rPr>
  </w:style>
  <w:style w:type="character" w:customStyle="1" w:styleId="67">
    <w:name w:val="页眉 Char1"/>
    <w:basedOn w:val="29"/>
    <w:semiHidden/>
    <w:qFormat/>
    <w:uiPriority w:val="99"/>
    <w:rPr>
      <w:rFonts w:cs="Times New Roman"/>
      <w:kern w:val="2"/>
      <w:sz w:val="18"/>
      <w:szCs w:val="18"/>
    </w:rPr>
  </w:style>
  <w:style w:type="paragraph" w:customStyle="1" w:styleId="68">
    <w:name w:val="Blockquote"/>
    <w:basedOn w:val="1"/>
    <w:qFormat/>
    <w:uiPriority w:val="99"/>
    <w:pPr>
      <w:autoSpaceDE w:val="0"/>
      <w:autoSpaceDN w:val="0"/>
      <w:adjustRightInd w:val="0"/>
      <w:spacing w:before="100" w:after="100"/>
      <w:ind w:left="360" w:right="360"/>
      <w:jc w:val="left"/>
    </w:pPr>
    <w:rPr>
      <w:rFonts w:ascii="Times New Roman" w:hAnsi="Times New Roman" w:cs="Times New Roman"/>
      <w:kern w:val="0"/>
      <w:sz w:val="24"/>
      <w:szCs w:val="24"/>
    </w:rPr>
  </w:style>
  <w:style w:type="character" w:customStyle="1" w:styleId="69">
    <w:name w:val="页脚 Char1"/>
    <w:basedOn w:val="29"/>
    <w:semiHidden/>
    <w:qFormat/>
    <w:uiPriority w:val="99"/>
    <w:rPr>
      <w:rFonts w:cs="Times New Roman"/>
      <w:kern w:val="2"/>
      <w:sz w:val="18"/>
      <w:szCs w:val="18"/>
    </w:rPr>
  </w:style>
  <w:style w:type="character" w:customStyle="1" w:styleId="70">
    <w:name w:val="标题 Char1"/>
    <w:basedOn w:val="29"/>
    <w:qFormat/>
    <w:uiPriority w:val="99"/>
    <w:rPr>
      <w:rFonts w:ascii="Cambria" w:hAnsi="Cambria" w:eastAsia="宋体" w:cs="Cambria"/>
      <w:b/>
      <w:bCs/>
      <w:sz w:val="32"/>
      <w:szCs w:val="32"/>
    </w:rPr>
  </w:style>
  <w:style w:type="character" w:customStyle="1" w:styleId="71">
    <w:name w:val="纯文本 Char1"/>
    <w:basedOn w:val="29"/>
    <w:semiHidden/>
    <w:qFormat/>
    <w:uiPriority w:val="99"/>
    <w:rPr>
      <w:rFonts w:ascii="宋体" w:hAnsi="Courier New" w:eastAsia="宋体" w:cs="宋体"/>
      <w:sz w:val="21"/>
      <w:szCs w:val="21"/>
    </w:rPr>
  </w:style>
  <w:style w:type="character" w:customStyle="1" w:styleId="72">
    <w:name w:val="副标题 Char1"/>
    <w:basedOn w:val="29"/>
    <w:qFormat/>
    <w:uiPriority w:val="99"/>
    <w:rPr>
      <w:rFonts w:ascii="Cambria" w:hAnsi="Cambria" w:eastAsia="宋体" w:cs="Cambria"/>
      <w:b/>
      <w:bCs/>
      <w:kern w:val="28"/>
      <w:sz w:val="32"/>
      <w:szCs w:val="32"/>
    </w:rPr>
  </w:style>
  <w:style w:type="paragraph" w:styleId="73">
    <w:name w:val="List Paragraph"/>
    <w:basedOn w:val="1"/>
    <w:qFormat/>
    <w:uiPriority w:val="99"/>
    <w:pPr>
      <w:ind w:firstLine="420" w:firstLineChars="200"/>
    </w:pPr>
  </w:style>
  <w:style w:type="paragraph" w:customStyle="1" w:styleId="74">
    <w:name w:val="Char Char Char Char Char Char Char1 Char Char Char Char Char Char Char"/>
    <w:basedOn w:val="1"/>
    <w:qFormat/>
    <w:uiPriority w:val="99"/>
    <w:rPr>
      <w:rFonts w:ascii="Tahoma" w:hAnsi="Tahoma" w:cs="Tahoma"/>
      <w:sz w:val="24"/>
      <w:szCs w:val="24"/>
    </w:rPr>
  </w:style>
  <w:style w:type="paragraph" w:customStyle="1" w:styleId="75">
    <w:name w:val="Char Char Char Char"/>
    <w:basedOn w:val="1"/>
    <w:qFormat/>
    <w:uiPriority w:val="99"/>
    <w:pPr>
      <w:tabs>
        <w:tab w:val="left" w:pos="360"/>
      </w:tabs>
      <w:ind w:firstLine="420" w:firstLineChars="150"/>
    </w:pPr>
    <w:rPr>
      <w:rFonts w:ascii="Arial" w:hAnsi="Arial" w:cs="Arial"/>
      <w:sz w:val="20"/>
      <w:szCs w:val="20"/>
    </w:rPr>
  </w:style>
  <w:style w:type="paragraph" w:customStyle="1" w:styleId="76">
    <w:name w:val="Char"/>
    <w:basedOn w:val="1"/>
    <w:qFormat/>
    <w:uiPriority w:val="99"/>
    <w:rPr>
      <w:rFonts w:ascii="Tahoma" w:hAnsi="Tahoma" w:cs="Tahoma"/>
      <w:sz w:val="24"/>
      <w:szCs w:val="24"/>
    </w:rPr>
  </w:style>
  <w:style w:type="paragraph" w:customStyle="1" w:styleId="77">
    <w:name w:val="默认段落字体 Para Char Char Char Char Char Char Char Char Char1 Char Char Char Char Char Char Char Char"/>
    <w:basedOn w:val="8"/>
    <w:qFormat/>
    <w:uiPriority w:val="99"/>
  </w:style>
  <w:style w:type="paragraph" w:customStyle="1" w:styleId="78">
    <w:name w:val="正文_0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Char Char Char"/>
    <w:basedOn w:val="1"/>
    <w:qFormat/>
    <w:uiPriority w:val="99"/>
    <w:rPr>
      <w:rFonts w:ascii="Tahoma" w:hAnsi="Tahoma" w:cs="Tahoma"/>
      <w:sz w:val="24"/>
      <w:szCs w:val="24"/>
    </w:rPr>
  </w:style>
  <w:style w:type="paragraph" w:customStyle="1" w:styleId="80">
    <w:name w:val="正文（缩进）"/>
    <w:basedOn w:val="1"/>
    <w:qFormat/>
    <w:uiPriority w:val="99"/>
    <w:pPr>
      <w:widowControl/>
      <w:spacing w:before="156" w:after="156"/>
      <w:ind w:firstLine="480" w:firstLineChars="200"/>
      <w:jc w:val="left"/>
    </w:pPr>
    <w:rPr>
      <w:rFonts w:ascii="仿宋_GB2312" w:eastAsia="仿宋_GB2312" w:cs="仿宋_GB2312"/>
      <w:kern w:val="0"/>
      <w:sz w:val="24"/>
      <w:szCs w:val="24"/>
    </w:rPr>
  </w:style>
  <w:style w:type="paragraph" w:customStyle="1" w:styleId="81">
    <w:name w:val="Normal_0"/>
    <w:qFormat/>
    <w:uiPriority w:val="99"/>
    <w:rPr>
      <w:rFonts w:ascii="Calibri" w:hAnsi="Calibri" w:eastAsia="宋体" w:cs="Times New Roman"/>
      <w:sz w:val="24"/>
      <w:szCs w:val="24"/>
      <w:lang w:val="en-US" w:eastAsia="zh-CN" w:bidi="ar-SA"/>
    </w:rPr>
  </w:style>
  <w:style w:type="paragraph" w:customStyle="1" w:styleId="82">
    <w:name w:val="_Style 81"/>
    <w:basedOn w:val="11"/>
    <w:next w:val="26"/>
    <w:qFormat/>
    <w:uiPriority w:val="0"/>
    <w:pPr>
      <w:spacing w:line="360" w:lineRule="auto"/>
      <w:ind w:firstLine="200" w:firstLineChars="200"/>
    </w:pPr>
    <w:rPr>
      <w:rFonts w:ascii="宋体" w:hAnsi="Arial"/>
      <w:b w:val="0"/>
      <w:bCs w:val="0"/>
      <w:sz w:val="24"/>
      <w:szCs w:val="24"/>
    </w:rPr>
  </w:style>
  <w:style w:type="paragraph" w:customStyle="1" w:styleId="83">
    <w:name w:val="p15"/>
    <w:basedOn w:val="1"/>
    <w:qFormat/>
    <w:uiPriority w:val="0"/>
    <w:pPr>
      <w:widowControl/>
    </w:pPr>
    <w:rPr>
      <w:rFonts w:cs="宋体"/>
      <w:kern w:val="0"/>
    </w:rPr>
  </w:style>
  <w:style w:type="character" w:customStyle="1" w:styleId="84">
    <w:name w:val="标题 字符"/>
    <w:basedOn w:val="29"/>
    <w:link w:val="24"/>
    <w:qFormat/>
    <w:uiPriority w:val="0"/>
    <w:rPr>
      <w:rFonts w:ascii="Calibri Light" w:hAnsi="Calibri Light" w:eastAsia="宋体" w:cs="Times New Roman"/>
      <w:spacing w:val="-10"/>
      <w:kern w:val="28"/>
      <w:sz w:val="56"/>
      <w:szCs w:val="5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12</Pages>
  <Words>486</Words>
  <Characters>2773</Characters>
  <Lines>23</Lines>
  <Paragraphs>6</Paragraphs>
  <TotalTime>59</TotalTime>
  <ScaleCrop>false</ScaleCrop>
  <LinksUpToDate>false</LinksUpToDate>
  <CharactersWithSpaces>3253</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2025-03-06T02:15:00Z</dcterms:created>
  <dc:creator>Administrator</dc:creator>
  <cp:lastModifiedBy>zt12</cp:lastModifiedBy>
  <cp:lastPrinted>2025-04-01T08:17:36Z</cp:lastPrinted>
  <dcterms:modified xsi:type="dcterms:W3CDTF">2025-04-01T08:20:51Z</dcterms:modified>
  <dc:title>芜湖市芜湖县政府性资金项目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E62B1263444441228E6A3D117F4DCF44_13</vt:lpwstr>
  </property>
</Properties>
</file>